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89870" w14:textId="77777777" w:rsidR="001B58C7" w:rsidRDefault="000F0E0E">
      <w:pPr>
        <w:jc w:val="center"/>
        <w:rPr>
          <w:b/>
          <w:lang w:val="fr-FR"/>
        </w:rPr>
      </w:pPr>
      <w:r>
        <w:rPr>
          <w:rFonts w:ascii="Arial Narrow" w:hAnsi="Arial Narrow"/>
          <w:b/>
          <w:noProof/>
          <w:sz w:val="22"/>
          <w:szCs w:val="22"/>
          <w:lang w:val="en-US" w:eastAsia="en-US"/>
        </w:rPr>
        <w:drawing>
          <wp:anchor distT="0" distB="0" distL="114300" distR="114300" simplePos="0" relativeHeight="251659264" behindDoc="0" locked="0" layoutInCell="1" allowOverlap="1" wp14:anchorId="10089A8E" wp14:editId="351DF17C">
            <wp:simplePos x="0" y="0"/>
            <wp:positionH relativeFrom="column">
              <wp:posOffset>5194300</wp:posOffset>
            </wp:positionH>
            <wp:positionV relativeFrom="paragraph">
              <wp:posOffset>26670</wp:posOffset>
            </wp:positionV>
            <wp:extent cx="875030" cy="888365"/>
            <wp:effectExtent l="0" t="0" r="1270" b="6985"/>
            <wp:wrapSquare wrapText="bothSides"/>
            <wp:docPr id="3"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Logo, company nam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875030" cy="888365"/>
                    </a:xfrm>
                    <a:prstGeom prst="rect">
                      <a:avLst/>
                    </a:prstGeom>
                    <a:noFill/>
                    <a:ln>
                      <a:noFill/>
                    </a:ln>
                  </pic:spPr>
                </pic:pic>
              </a:graphicData>
            </a:graphic>
          </wp:anchor>
        </w:drawing>
      </w:r>
      <w:r>
        <w:rPr>
          <w:b/>
          <w:lang w:val="fr-FR"/>
        </w:rPr>
        <w:t>RAPPORT DE PROGRES DE PROJET PBF</w:t>
      </w:r>
    </w:p>
    <w:p w14:paraId="74DCC53E" w14:textId="77777777" w:rsidR="001B58C7" w:rsidRDefault="000F0E0E">
      <w:pPr>
        <w:suppressAutoHyphens/>
        <w:jc w:val="center"/>
        <w:rPr>
          <w:i/>
          <w:iCs/>
          <w:lang w:val="fr-FR"/>
        </w:rPr>
      </w:pPr>
      <w:r>
        <w:rPr>
          <w:i/>
          <w:iCs/>
          <w:lang w:val="fr-FR"/>
        </w:rPr>
        <w:t>Mise à jour : mai 2025</w:t>
      </w:r>
    </w:p>
    <w:p w14:paraId="5487E371" w14:textId="77777777" w:rsidR="001B58C7" w:rsidRDefault="001B58C7">
      <w:pPr>
        <w:numPr>
          <w:ilvl w:val="12"/>
          <w:numId w:val="0"/>
        </w:numPr>
        <w:tabs>
          <w:tab w:val="left" w:pos="0"/>
        </w:tabs>
        <w:suppressAutoHyphens/>
        <w:jc w:val="center"/>
        <w:rPr>
          <w:bCs/>
          <w:i/>
          <w:iCs/>
          <w:caps/>
          <w:lang w:val="fr-FR"/>
        </w:rPr>
      </w:pPr>
    </w:p>
    <w:p w14:paraId="7C2D5311" w14:textId="77777777" w:rsidR="001B58C7" w:rsidRDefault="000F0E0E">
      <w:pPr>
        <w:jc w:val="both"/>
        <w:rPr>
          <w:b/>
          <w:bCs/>
          <w:caps/>
          <w:lang w:val="fr-FR"/>
        </w:rPr>
      </w:pPr>
      <w:r>
        <w:rPr>
          <w:b/>
          <w:bCs/>
          <w:caps/>
          <w:lang w:val="fr-FR"/>
        </w:rPr>
        <w:t>PAYS :</w:t>
      </w:r>
      <w:r>
        <w:rPr>
          <w:bCs/>
          <w:iCs/>
          <w:snapToGrid w:val="0"/>
          <w:szCs w:val="28"/>
          <w:lang w:val="fr-FR"/>
        </w:rPr>
        <w:t xml:space="preserve"> RD CONGO</w:t>
      </w:r>
    </w:p>
    <w:p w14:paraId="71D8BE64" w14:textId="77777777" w:rsidR="001B58C7" w:rsidRDefault="000F0E0E">
      <w:pPr>
        <w:rPr>
          <w:b/>
          <w:bCs/>
          <w:caps/>
          <w:sz w:val="22"/>
          <w:szCs w:val="22"/>
          <w:lang w:val="fr-FR"/>
        </w:rPr>
      </w:pPr>
      <w:r>
        <w:rPr>
          <w:b/>
          <w:bCs/>
          <w:caps/>
          <w:sz w:val="22"/>
          <w:szCs w:val="22"/>
          <w:lang w:val="fr-FR"/>
        </w:rPr>
        <w:t>TYPE DE RAPPORT : SEMESTRIEL (1)</w:t>
      </w:r>
    </w:p>
    <w:p w14:paraId="230CEF0D" w14:textId="77777777" w:rsidR="001B58C7" w:rsidRDefault="000F0E0E">
      <w:pPr>
        <w:jc w:val="both"/>
        <w:rPr>
          <w:bCs/>
          <w:iCs/>
          <w:snapToGrid w:val="0"/>
          <w:szCs w:val="28"/>
          <w:lang w:val="fr-FR"/>
        </w:rPr>
      </w:pPr>
      <w:r>
        <w:rPr>
          <w:b/>
          <w:bCs/>
          <w:caps/>
          <w:lang w:val="fr-FR"/>
        </w:rPr>
        <w:t xml:space="preserve">ANNEE DE RAPPORT : </w:t>
      </w:r>
      <w:r>
        <w:rPr>
          <w:b/>
          <w:bCs/>
          <w:iCs/>
          <w:snapToGrid w:val="0"/>
          <w:szCs w:val="28"/>
          <w:lang w:val="fr-FR"/>
        </w:rPr>
        <w:t>2026</w:t>
      </w:r>
    </w:p>
    <w:p w14:paraId="423B8EC7" w14:textId="77777777" w:rsidR="001B58C7" w:rsidRDefault="001B58C7">
      <w:pPr>
        <w:jc w:val="center"/>
        <w:rPr>
          <w:bCs/>
          <w:iCs/>
          <w:snapToGrid w:val="0"/>
          <w:szCs w:val="28"/>
          <w:lang w:val="fr-FR"/>
        </w:rPr>
      </w:pPr>
    </w:p>
    <w:p w14:paraId="01E145F5" w14:textId="77777777" w:rsidR="001B58C7" w:rsidRDefault="000F0E0E">
      <w:pPr>
        <w:jc w:val="center"/>
        <w:rPr>
          <w:b/>
          <w:bCs/>
          <w:caps/>
          <w:lang w:val="fr-FR"/>
        </w:rPr>
      </w:pPr>
      <w:r>
        <w:rPr>
          <w:b/>
          <w:bCs/>
          <w:caps/>
          <w:lang w:val="fr-FR"/>
        </w:rPr>
        <w:t>INFORMATIONS SUR LE PROJET</w:t>
      </w:r>
    </w:p>
    <w:tbl>
      <w:tblPr>
        <w:tblW w:w="10036"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8"/>
        <w:gridCol w:w="5018"/>
      </w:tblGrid>
      <w:tr w:rsidR="001B58C7" w:rsidRPr="00ED3A8A" w14:paraId="1D78279C" w14:textId="77777777">
        <w:trPr>
          <w:trHeight w:val="422"/>
        </w:trPr>
        <w:tc>
          <w:tcPr>
            <w:tcW w:w="10036" w:type="dxa"/>
            <w:gridSpan w:val="2"/>
          </w:tcPr>
          <w:p w14:paraId="3A457D6E" w14:textId="2CF88CAD" w:rsidR="001B58C7" w:rsidRDefault="000F0E0E">
            <w:pPr>
              <w:pStyle w:val="Textedebulles"/>
              <w:numPr>
                <w:ilvl w:val="12"/>
                <w:numId w:val="0"/>
              </w:numPr>
              <w:tabs>
                <w:tab w:val="left" w:pos="-720"/>
                <w:tab w:val="left" w:pos="4500"/>
              </w:tabs>
              <w:suppressAutoHyphens/>
              <w:spacing w:after="160" w:line="276" w:lineRule="auto"/>
              <w:rPr>
                <w:rFonts w:ascii="Times New Roman" w:hAnsi="Times New Roman" w:cs="Times New Roman"/>
                <w:b/>
                <w:kern w:val="2"/>
                <w:sz w:val="24"/>
                <w:szCs w:val="24"/>
                <w:lang w:val="fr-FR"/>
              </w:rPr>
            </w:pPr>
            <w:r>
              <w:rPr>
                <w:rFonts w:ascii="Times New Roman" w:hAnsi="Times New Roman" w:cs="Times New Roman"/>
                <w:b/>
                <w:kern w:val="2"/>
                <w:sz w:val="24"/>
                <w:szCs w:val="24"/>
                <w:lang w:val="fr-FR"/>
              </w:rPr>
              <w:t xml:space="preserve">Titre du projet : </w:t>
            </w:r>
            <w:r>
              <w:rPr>
                <w:rFonts w:ascii="Times New Roman" w:hAnsi="Times New Roman" w:cs="Times New Roman"/>
                <w:b/>
                <w:bCs/>
                <w:kern w:val="2"/>
                <w:sz w:val="24"/>
                <w:szCs w:val="24"/>
                <w:lang w:val="fr-FR"/>
              </w:rPr>
              <w:t xml:space="preserve">Promotion de la justice transitionnelle pour la consolidation de la paix dans les provinces du Kasai &amp; Kasai </w:t>
            </w:r>
            <w:r w:rsidR="006B740B">
              <w:rPr>
                <w:rFonts w:ascii="Times New Roman" w:hAnsi="Times New Roman" w:cs="Times New Roman"/>
                <w:b/>
                <w:bCs/>
                <w:kern w:val="2"/>
                <w:sz w:val="24"/>
                <w:szCs w:val="24"/>
                <w:lang w:val="fr-FR"/>
              </w:rPr>
              <w:t>Central,</w:t>
            </w:r>
            <w:r>
              <w:rPr>
                <w:rFonts w:ascii="Times New Roman" w:hAnsi="Times New Roman" w:cs="Times New Roman"/>
                <w:b/>
                <w:bCs/>
                <w:kern w:val="2"/>
                <w:sz w:val="24"/>
                <w:szCs w:val="24"/>
                <w:lang w:val="fr-FR"/>
              </w:rPr>
              <w:t xml:space="preserve"> en sigle « PROJUST »</w:t>
            </w:r>
          </w:p>
          <w:p w14:paraId="16E9AC00" w14:textId="065F3944" w:rsidR="001B58C7" w:rsidRPr="00ED3A8A" w:rsidRDefault="000F0E0E">
            <w:pPr>
              <w:spacing w:after="160" w:line="276" w:lineRule="auto"/>
              <w:rPr>
                <w:b/>
                <w:kern w:val="2"/>
                <w:lang w:val="fr-FR"/>
              </w:rPr>
            </w:pPr>
            <w:r w:rsidRPr="00ED3A8A">
              <w:rPr>
                <w:b/>
                <w:kern w:val="2"/>
                <w:lang w:val="fr-FR"/>
              </w:rPr>
              <w:t xml:space="preserve">Numéro Projet / MPTF </w:t>
            </w:r>
            <w:r w:rsidR="006B740B" w:rsidRPr="00ED3A8A">
              <w:rPr>
                <w:b/>
                <w:kern w:val="2"/>
                <w:lang w:val="fr-FR"/>
              </w:rPr>
              <w:t>Gateway:</w:t>
            </w:r>
            <w:r w:rsidRPr="00ED3A8A">
              <w:rPr>
                <w:b/>
                <w:kern w:val="2"/>
                <w:lang w:val="fr-FR"/>
              </w:rPr>
              <w:t xml:space="preserve"> </w:t>
            </w:r>
            <w:r w:rsidRPr="00ED3A8A">
              <w:rPr>
                <w:b/>
                <w:bCs/>
                <w:kern w:val="2"/>
                <w:lang w:val="fr-FR"/>
              </w:rPr>
              <w:t>PBF/COD/B-13</w:t>
            </w:r>
          </w:p>
        </w:tc>
      </w:tr>
      <w:tr w:rsidR="001B58C7" w:rsidRPr="00ED3A8A" w14:paraId="01629E1A" w14:textId="77777777">
        <w:trPr>
          <w:trHeight w:val="422"/>
        </w:trPr>
        <w:tc>
          <w:tcPr>
            <w:tcW w:w="5018" w:type="dxa"/>
          </w:tcPr>
          <w:p w14:paraId="25945A93" w14:textId="77777777" w:rsidR="001B58C7" w:rsidRDefault="000F0E0E">
            <w:pPr>
              <w:pStyle w:val="Textedebulles"/>
              <w:tabs>
                <w:tab w:val="left" w:pos="4500"/>
              </w:tabs>
              <w:spacing w:after="160" w:line="276" w:lineRule="auto"/>
              <w:rPr>
                <w:rFonts w:ascii="Times New Roman" w:hAnsi="Times New Roman" w:cs="Times New Roman"/>
                <w:b/>
                <w:bCs/>
                <w:kern w:val="2"/>
                <w:sz w:val="24"/>
                <w:szCs w:val="24"/>
                <w:lang w:val="fr-FR"/>
              </w:rPr>
            </w:pPr>
            <w:r>
              <w:rPr>
                <w:rFonts w:ascii="Times New Roman" w:hAnsi="Times New Roman" w:cs="Times New Roman"/>
                <w:b/>
                <w:bCs/>
                <w:kern w:val="2"/>
                <w:sz w:val="24"/>
                <w:szCs w:val="24"/>
                <w:lang w:val="fr-FR"/>
              </w:rPr>
              <w:t xml:space="preserve">Si le financement passe par un Fonds Fiduciaire (“Trust </w:t>
            </w:r>
            <w:proofErr w:type="spellStart"/>
            <w:r>
              <w:rPr>
                <w:rFonts w:ascii="Times New Roman" w:hAnsi="Times New Roman" w:cs="Times New Roman"/>
                <w:b/>
                <w:bCs/>
                <w:kern w:val="2"/>
                <w:sz w:val="24"/>
                <w:szCs w:val="24"/>
                <w:lang w:val="fr-FR"/>
              </w:rPr>
              <w:t>fund</w:t>
            </w:r>
            <w:proofErr w:type="spellEnd"/>
            <w:r>
              <w:rPr>
                <w:rFonts w:ascii="Times New Roman" w:hAnsi="Times New Roman" w:cs="Times New Roman"/>
                <w:b/>
                <w:bCs/>
                <w:kern w:val="2"/>
                <w:sz w:val="24"/>
                <w:szCs w:val="24"/>
                <w:lang w:val="fr-FR"/>
              </w:rPr>
              <w:t xml:space="preserve">”) : </w:t>
            </w:r>
          </w:p>
          <w:p w14:paraId="47637725" w14:textId="77777777" w:rsidR="001B58C7" w:rsidRDefault="000F0E0E">
            <w:pPr>
              <w:tabs>
                <w:tab w:val="left" w:pos="0"/>
              </w:tabs>
              <w:suppressAutoHyphens/>
              <w:spacing w:after="160" w:line="276" w:lineRule="auto"/>
              <w:rPr>
                <w:b/>
                <w:spacing w:val="-3"/>
                <w:kern w:val="2"/>
                <w:lang w:val="fr-FR"/>
              </w:rPr>
            </w:pPr>
            <w:r>
              <w:rPr>
                <w:kern w:val="2"/>
                <w:lang w:val="fr-FR"/>
              </w:rPr>
              <w:fldChar w:fldCharType="begin">
                <w:ffData>
                  <w:name w:val="Check1"/>
                  <w:enabled/>
                  <w:calcOnExit w:val="0"/>
                  <w:checkBox>
                    <w:sizeAuto/>
                    <w:default w:val="0"/>
                    <w:checked w:val="0"/>
                  </w:checkBox>
                </w:ffData>
              </w:fldChar>
            </w:r>
            <w:r>
              <w:rPr>
                <w:kern w:val="2"/>
                <w:lang w:val="fr-FR"/>
              </w:rPr>
              <w:instrText xml:space="preserve"> FORMCHECKBOX </w:instrText>
            </w:r>
            <w:r>
              <w:rPr>
                <w:kern w:val="2"/>
                <w:lang w:val="fr-FR"/>
              </w:rPr>
            </w:r>
            <w:r>
              <w:rPr>
                <w:kern w:val="2"/>
                <w:lang w:val="fr-FR"/>
              </w:rPr>
              <w:fldChar w:fldCharType="separate"/>
            </w:r>
            <w:r>
              <w:rPr>
                <w:kern w:val="2"/>
                <w:lang w:val="fr-FR"/>
              </w:rPr>
              <w:fldChar w:fldCharType="end"/>
            </w:r>
            <w:r>
              <w:rPr>
                <w:kern w:val="2"/>
                <w:lang w:val="fr-FR"/>
              </w:rPr>
              <w:tab/>
            </w:r>
            <w:r>
              <w:rPr>
                <w:kern w:val="2"/>
                <w:lang w:val="fr-FR"/>
              </w:rPr>
              <w:tab/>
            </w:r>
            <w:r>
              <w:rPr>
                <w:spacing w:val="-3"/>
                <w:kern w:val="2"/>
                <w:lang w:val="fr-FR"/>
              </w:rPr>
              <w:t>Fonds fiduciaire pays</w:t>
            </w:r>
            <w:r>
              <w:rPr>
                <w:b/>
                <w:spacing w:val="-3"/>
                <w:kern w:val="2"/>
                <w:lang w:val="fr-FR"/>
              </w:rPr>
              <w:t xml:space="preserve"> </w:t>
            </w:r>
          </w:p>
          <w:p w14:paraId="4DDE93B1" w14:textId="77777777" w:rsidR="001B58C7" w:rsidRDefault="000F0E0E">
            <w:pPr>
              <w:tabs>
                <w:tab w:val="left" w:pos="0"/>
              </w:tabs>
              <w:suppressAutoHyphens/>
              <w:spacing w:after="160" w:line="276" w:lineRule="auto"/>
              <w:rPr>
                <w:b/>
                <w:kern w:val="2"/>
                <w:lang w:val="fr-FR"/>
              </w:rPr>
            </w:pPr>
            <w:r>
              <w:rPr>
                <w:kern w:val="2"/>
                <w:lang w:val="fr-FR"/>
              </w:rPr>
              <w:fldChar w:fldCharType="begin">
                <w:ffData>
                  <w:name w:val="Check1"/>
                  <w:enabled/>
                  <w:calcOnExit w:val="0"/>
                  <w:checkBox>
                    <w:sizeAuto/>
                    <w:default w:val="0"/>
                    <w:checked w:val="0"/>
                  </w:checkBox>
                </w:ffData>
              </w:fldChar>
            </w:r>
            <w:r>
              <w:rPr>
                <w:kern w:val="2"/>
                <w:lang w:val="fr-FR"/>
              </w:rPr>
              <w:instrText xml:space="preserve"> FORMCHECKBOX </w:instrText>
            </w:r>
            <w:r>
              <w:rPr>
                <w:kern w:val="2"/>
                <w:lang w:val="fr-FR"/>
              </w:rPr>
            </w:r>
            <w:r>
              <w:rPr>
                <w:kern w:val="2"/>
                <w:lang w:val="fr-FR"/>
              </w:rPr>
              <w:fldChar w:fldCharType="separate"/>
            </w:r>
            <w:r>
              <w:rPr>
                <w:kern w:val="2"/>
                <w:lang w:val="fr-FR"/>
              </w:rPr>
              <w:fldChar w:fldCharType="end"/>
            </w:r>
            <w:r>
              <w:rPr>
                <w:kern w:val="2"/>
                <w:lang w:val="fr-FR"/>
              </w:rPr>
              <w:tab/>
            </w:r>
            <w:r>
              <w:rPr>
                <w:kern w:val="2"/>
                <w:lang w:val="fr-FR"/>
              </w:rPr>
              <w:tab/>
              <w:t>Fonds fiduciaire régional</w:t>
            </w:r>
            <w:r>
              <w:rPr>
                <w:b/>
                <w:kern w:val="2"/>
                <w:lang w:val="fr-FR"/>
              </w:rPr>
              <w:t xml:space="preserve"> </w:t>
            </w:r>
          </w:p>
          <w:p w14:paraId="6ED4D18D" w14:textId="77777777" w:rsidR="001B58C7" w:rsidRDefault="001B58C7">
            <w:pPr>
              <w:tabs>
                <w:tab w:val="left" w:pos="0"/>
              </w:tabs>
              <w:suppressAutoHyphens/>
              <w:spacing w:after="160" w:line="276" w:lineRule="auto"/>
              <w:rPr>
                <w:b/>
                <w:kern w:val="2"/>
                <w:lang w:val="fr-FR"/>
              </w:rPr>
            </w:pPr>
          </w:p>
          <w:p w14:paraId="75780FC5" w14:textId="77777777" w:rsidR="001B58C7" w:rsidRDefault="000F0E0E">
            <w:pPr>
              <w:pStyle w:val="Textedebulles"/>
              <w:numPr>
                <w:ilvl w:val="12"/>
                <w:numId w:val="0"/>
              </w:numPr>
              <w:tabs>
                <w:tab w:val="left" w:pos="-720"/>
                <w:tab w:val="left" w:pos="4500"/>
              </w:tabs>
              <w:spacing w:after="160" w:line="276" w:lineRule="auto"/>
              <w:rPr>
                <w:rFonts w:ascii="Times New Roman" w:hAnsi="Times New Roman" w:cs="Times New Roman"/>
                <w:b/>
                <w:kern w:val="2"/>
                <w:sz w:val="24"/>
                <w:szCs w:val="24"/>
                <w:lang w:val="fr-FR"/>
              </w:rPr>
            </w:pPr>
            <w:r>
              <w:rPr>
                <w:rFonts w:ascii="Times New Roman" w:hAnsi="Times New Roman" w:cs="Times New Roman"/>
                <w:b/>
                <w:kern w:val="2"/>
                <w:sz w:val="24"/>
                <w:szCs w:val="24"/>
                <w:lang w:val="fr-FR"/>
              </w:rPr>
              <w:t xml:space="preserve">Nom du fonds fiduciaire : </w:t>
            </w:r>
            <w:r>
              <w:rPr>
                <w:bCs/>
                <w:iCs/>
                <w:snapToGrid w:val="0"/>
                <w:kern w:val="2"/>
                <w:szCs w:val="28"/>
                <w:lang w:val="fr-FR"/>
              </w:rPr>
              <w:fldChar w:fldCharType="begin">
                <w:ffData>
                  <w:name w:val=""/>
                  <w:enabled/>
                  <w:calcOnExit w:val="0"/>
                  <w:textInput>
                    <w:format w:val="第一个字母大写"/>
                  </w:textInput>
                </w:ffData>
              </w:fldChar>
            </w:r>
            <w:r>
              <w:rPr>
                <w:bCs/>
                <w:iCs/>
                <w:snapToGrid w:val="0"/>
                <w:kern w:val="2"/>
                <w:szCs w:val="28"/>
                <w:lang w:val="fr-FR"/>
              </w:rPr>
              <w:instrText xml:space="preserve"> FORMTEXT </w:instrText>
            </w:r>
            <w:r>
              <w:rPr>
                <w:bCs/>
                <w:iCs/>
                <w:snapToGrid w:val="0"/>
                <w:kern w:val="2"/>
                <w:szCs w:val="28"/>
                <w:lang w:val="fr-FR"/>
              </w:rPr>
            </w:r>
            <w:r>
              <w:rPr>
                <w:bCs/>
                <w:iCs/>
                <w:snapToGrid w:val="0"/>
                <w:kern w:val="2"/>
                <w:szCs w:val="28"/>
                <w:lang w:val="fr-FR"/>
              </w:rPr>
              <w:fldChar w:fldCharType="separate"/>
            </w:r>
            <w:r>
              <w:rPr>
                <w:bCs/>
                <w:iCs/>
                <w:snapToGrid w:val="0"/>
                <w:kern w:val="2"/>
                <w:szCs w:val="28"/>
                <w:lang w:val="fr-FR"/>
              </w:rPr>
              <w:t>     </w:t>
            </w:r>
            <w:r>
              <w:rPr>
                <w:bCs/>
                <w:iCs/>
                <w:snapToGrid w:val="0"/>
                <w:kern w:val="2"/>
                <w:szCs w:val="28"/>
                <w:lang w:val="fr-FR"/>
              </w:rPr>
              <w:fldChar w:fldCharType="end"/>
            </w:r>
          </w:p>
          <w:p w14:paraId="1A01FB05" w14:textId="77777777" w:rsidR="001B58C7" w:rsidRDefault="001B58C7">
            <w:pPr>
              <w:tabs>
                <w:tab w:val="left" w:pos="0"/>
              </w:tabs>
              <w:suppressAutoHyphens/>
              <w:spacing w:after="160" w:line="276" w:lineRule="auto"/>
              <w:jc w:val="both"/>
              <w:rPr>
                <w:b/>
                <w:kern w:val="2"/>
                <w:lang w:val="fr-FR"/>
              </w:rPr>
            </w:pPr>
          </w:p>
        </w:tc>
        <w:tc>
          <w:tcPr>
            <w:tcW w:w="5018" w:type="dxa"/>
          </w:tcPr>
          <w:p w14:paraId="5907AB6F" w14:textId="77777777" w:rsidR="001B58C7" w:rsidRDefault="000F0E0E">
            <w:pPr>
              <w:spacing w:after="160" w:line="276" w:lineRule="auto"/>
              <w:rPr>
                <w:b/>
                <w:bCs/>
                <w:iCs/>
                <w:kern w:val="2"/>
                <w:lang w:val="fr-FR"/>
              </w:rPr>
            </w:pPr>
            <w:r>
              <w:rPr>
                <w:b/>
                <w:bCs/>
                <w:iCs/>
                <w:kern w:val="2"/>
                <w:lang w:val="fr-FR"/>
              </w:rPr>
              <w:t>Type et nom d’agence récipiendaire :</w:t>
            </w:r>
          </w:p>
          <w:p w14:paraId="16489925" w14:textId="77777777" w:rsidR="001B58C7" w:rsidRDefault="000F0E0E">
            <w:pPr>
              <w:spacing w:after="160" w:line="276" w:lineRule="auto"/>
              <w:rPr>
                <w:b/>
                <w:kern w:val="2"/>
                <w:lang w:val="fr-FR"/>
              </w:rPr>
            </w:pPr>
            <w:r>
              <w:rPr>
                <w:b/>
                <w:bCs/>
                <w:iCs/>
                <w:kern w:val="2"/>
                <w:lang w:val="fr-FR"/>
              </w:rPr>
              <w:t xml:space="preserve">- PNUD - </w:t>
            </w:r>
            <w:r>
              <w:rPr>
                <w:bCs/>
                <w:kern w:val="2"/>
                <w:lang w:val="fr-FR"/>
              </w:rPr>
              <w:t>Programme des Nations Unies pour le Développement</w:t>
            </w:r>
            <w:r>
              <w:rPr>
                <w:b/>
                <w:kern w:val="2"/>
                <w:lang w:val="fr-FR"/>
              </w:rPr>
              <w:t xml:space="preserve"> (Agence coordinatrice)</w:t>
            </w:r>
          </w:p>
          <w:p w14:paraId="7A27CF6B" w14:textId="77777777" w:rsidR="001B58C7" w:rsidRDefault="000F0E0E">
            <w:pPr>
              <w:spacing w:after="160" w:line="276" w:lineRule="auto"/>
              <w:rPr>
                <w:kern w:val="2"/>
                <w:lang w:val="fr-FR"/>
              </w:rPr>
            </w:pPr>
            <w:r>
              <w:rPr>
                <w:rFonts w:eastAsia="SimSun"/>
                <w:b/>
                <w:bCs/>
                <w:kern w:val="2"/>
                <w:lang w:val="fr-FR" w:eastAsia="zh-CN" w:bidi="ar"/>
              </w:rPr>
              <w:t xml:space="preserve">- </w:t>
            </w:r>
            <w:r>
              <w:rPr>
                <w:rFonts w:eastAsia="TimesNewRomanPS-BoldMT"/>
                <w:b/>
                <w:bCs/>
                <w:kern w:val="2"/>
                <w:lang w:val="fr-FR" w:eastAsia="zh-CN" w:bidi="ar"/>
              </w:rPr>
              <w:t xml:space="preserve">BCNUDH </w:t>
            </w:r>
            <w:r>
              <w:rPr>
                <w:rFonts w:eastAsia="SimSun"/>
                <w:kern w:val="2"/>
                <w:lang w:val="fr-FR" w:eastAsia="zh-CN" w:bidi="ar"/>
              </w:rPr>
              <w:t>- Bureau Conjoint des Nations Unies aux Droits de l’Homme</w:t>
            </w:r>
          </w:p>
          <w:p w14:paraId="644D37CD" w14:textId="77777777" w:rsidR="001B58C7" w:rsidRDefault="000F0E0E">
            <w:pPr>
              <w:pStyle w:val="Textedebulles"/>
              <w:numPr>
                <w:ilvl w:val="12"/>
                <w:numId w:val="0"/>
              </w:numPr>
              <w:tabs>
                <w:tab w:val="left" w:pos="-720"/>
                <w:tab w:val="left" w:pos="4500"/>
              </w:tabs>
              <w:spacing w:after="160" w:line="276" w:lineRule="auto"/>
              <w:rPr>
                <w:rFonts w:ascii="Times New Roman" w:hAnsi="Times New Roman" w:cs="Times New Roman"/>
                <w:b/>
                <w:kern w:val="2"/>
                <w:sz w:val="24"/>
                <w:szCs w:val="24"/>
                <w:lang w:val="fr-FR"/>
              </w:rPr>
            </w:pPr>
            <w:r>
              <w:rPr>
                <w:rFonts w:ascii="Times New Roman" w:eastAsia="SimSun" w:hAnsi="Times New Roman" w:cs="Times New Roman"/>
                <w:b/>
                <w:bCs/>
                <w:kern w:val="2"/>
                <w:sz w:val="24"/>
                <w:szCs w:val="24"/>
                <w:lang w:val="fr-FR" w:eastAsia="zh-CN" w:bidi="ar"/>
              </w:rPr>
              <w:t>- UNHCR</w:t>
            </w:r>
            <w:r>
              <w:rPr>
                <w:rFonts w:ascii="Times New Roman" w:eastAsia="TimesNewRomanPS-BoldMT" w:hAnsi="Times New Roman" w:cs="Times New Roman"/>
                <w:b/>
                <w:bCs/>
                <w:kern w:val="2"/>
                <w:sz w:val="24"/>
                <w:szCs w:val="24"/>
                <w:lang w:val="fr-FR" w:eastAsia="zh-CN" w:bidi="ar"/>
              </w:rPr>
              <w:t xml:space="preserve"> </w:t>
            </w:r>
            <w:r>
              <w:rPr>
                <w:rFonts w:ascii="Times New Roman" w:eastAsia="SimSun" w:hAnsi="Times New Roman" w:cs="Times New Roman"/>
                <w:kern w:val="2"/>
                <w:sz w:val="24"/>
                <w:szCs w:val="24"/>
                <w:lang w:val="fr-FR" w:eastAsia="zh-CN" w:bidi="ar"/>
              </w:rPr>
              <w:t>- Haut-Commissariat des Nations Unies pour les Réfugiés</w:t>
            </w:r>
          </w:p>
        </w:tc>
      </w:tr>
      <w:tr w:rsidR="001B58C7" w14:paraId="2D4E96DD" w14:textId="77777777">
        <w:trPr>
          <w:trHeight w:val="368"/>
        </w:trPr>
        <w:tc>
          <w:tcPr>
            <w:tcW w:w="10036" w:type="dxa"/>
            <w:gridSpan w:val="2"/>
          </w:tcPr>
          <w:p w14:paraId="3F57EAC4" w14:textId="77777777" w:rsidR="001B58C7" w:rsidRDefault="000F0E0E">
            <w:pPr>
              <w:spacing w:after="160" w:line="276" w:lineRule="auto"/>
              <w:rPr>
                <w:b/>
                <w:bCs/>
                <w:iCs/>
                <w:kern w:val="2"/>
                <w:lang w:val="fr-FR"/>
              </w:rPr>
            </w:pPr>
            <w:r>
              <w:rPr>
                <w:b/>
                <w:bCs/>
                <w:iCs/>
                <w:kern w:val="2"/>
                <w:lang w:val="fr-FR"/>
              </w:rPr>
              <w:t>Date du premier transfert de fonds : 30 janvier 2025</w:t>
            </w:r>
          </w:p>
          <w:p w14:paraId="2AD63833" w14:textId="77777777" w:rsidR="001B58C7" w:rsidRDefault="000F0E0E">
            <w:pPr>
              <w:spacing w:after="160" w:line="276" w:lineRule="auto"/>
              <w:rPr>
                <w:bCs/>
                <w:iCs/>
                <w:snapToGrid w:val="0"/>
                <w:kern w:val="2"/>
                <w:lang w:val="fr-FR"/>
              </w:rPr>
            </w:pPr>
            <w:r>
              <w:rPr>
                <w:b/>
                <w:bCs/>
                <w:iCs/>
                <w:kern w:val="2"/>
                <w:lang w:val="fr-FR"/>
              </w:rPr>
              <w:t>Date de fin de projet :  29 janvier 2028</w:t>
            </w:r>
            <w:r>
              <w:rPr>
                <w:bCs/>
                <w:iCs/>
                <w:snapToGrid w:val="0"/>
                <w:kern w:val="2"/>
                <w:lang w:val="fr-FR"/>
              </w:rPr>
              <w:t xml:space="preserve">        </w:t>
            </w:r>
          </w:p>
          <w:p w14:paraId="7736B70B" w14:textId="77777777" w:rsidR="001B58C7" w:rsidRDefault="000F0E0E">
            <w:pPr>
              <w:spacing w:after="160" w:line="276" w:lineRule="auto"/>
              <w:rPr>
                <w:b/>
                <w:iCs/>
                <w:snapToGrid w:val="0"/>
                <w:kern w:val="2"/>
                <w:lang w:val="fr-FR"/>
              </w:rPr>
            </w:pPr>
            <w:r>
              <w:rPr>
                <w:b/>
                <w:iCs/>
                <w:snapToGrid w:val="0"/>
                <w:kern w:val="2"/>
                <w:lang w:val="fr-FR"/>
              </w:rPr>
              <w:t>Ce projet a-t-il bénéficié d'une prolongation (avec ou sans coûts) ? NON.</w:t>
            </w:r>
          </w:p>
          <w:p w14:paraId="09191BE2" w14:textId="77777777" w:rsidR="001B58C7" w:rsidRDefault="000F0E0E">
            <w:pPr>
              <w:spacing w:after="160" w:line="276" w:lineRule="auto"/>
              <w:contextualSpacing/>
              <w:rPr>
                <w:b/>
                <w:bCs/>
                <w:snapToGrid w:val="0"/>
                <w:kern w:val="2"/>
                <w:lang w:val="fr-FR"/>
              </w:rPr>
            </w:pPr>
            <w:r>
              <w:rPr>
                <w:b/>
                <w:bCs/>
                <w:kern w:val="2"/>
                <w:lang w:val="fr-FR"/>
              </w:rPr>
              <w:t xml:space="preserve">Ce projet demandera-t-il une prolongation </w:t>
            </w:r>
            <w:r>
              <w:rPr>
                <w:b/>
                <w:bCs/>
                <w:snapToGrid w:val="0"/>
                <w:kern w:val="2"/>
                <w:lang w:val="fr-FR"/>
              </w:rPr>
              <w:t xml:space="preserve">(avec ou sans coûts) </w:t>
            </w:r>
            <w:r>
              <w:rPr>
                <w:b/>
                <w:bCs/>
                <w:kern w:val="2"/>
                <w:lang w:val="fr-FR"/>
              </w:rPr>
              <w:t>? NON.</w:t>
            </w:r>
          </w:p>
          <w:p w14:paraId="234F5C62" w14:textId="77777777" w:rsidR="001B58C7" w:rsidRDefault="000F0E0E">
            <w:pPr>
              <w:spacing w:before="240" w:after="240" w:line="276" w:lineRule="auto"/>
              <w:contextualSpacing/>
              <w:rPr>
                <w:kern w:val="2"/>
                <w:lang w:val="fr-FR"/>
              </w:rPr>
            </w:pPr>
            <w:r>
              <w:rPr>
                <w:b/>
                <w:bCs/>
                <w:kern w:val="2"/>
                <w:lang w:val="fr-FR"/>
              </w:rPr>
              <w:t>Ce projet soumettra-t-il une demande de transfert de fonds (FTR) au cours des six prochains mois ? OUI</w:t>
            </w:r>
            <w:r>
              <w:rPr>
                <w:b/>
                <w:iCs/>
                <w:snapToGrid w:val="0"/>
                <w:kern w:val="2"/>
                <w:lang w:val="fr-FR"/>
              </w:rPr>
              <w:t>.</w:t>
            </w:r>
          </w:p>
          <w:p w14:paraId="3697E6AE" w14:textId="77777777" w:rsidR="001B58C7" w:rsidRDefault="000F0E0E">
            <w:pPr>
              <w:spacing w:before="240" w:after="240" w:line="276" w:lineRule="auto"/>
              <w:contextualSpacing/>
              <w:rPr>
                <w:b/>
                <w:bCs/>
                <w:kern w:val="2"/>
                <w:lang w:val="fr-FR"/>
              </w:rPr>
            </w:pPr>
            <w:r>
              <w:rPr>
                <w:b/>
                <w:bCs/>
                <w:kern w:val="2"/>
                <w:lang w:val="fr-FR"/>
              </w:rPr>
              <w:t>Dans l’affirmative, vers quel mois prévoyez-vous présenter la demande ? Juillet 2026</w:t>
            </w:r>
          </w:p>
          <w:p w14:paraId="7C797B32" w14:textId="77777777" w:rsidR="001B58C7" w:rsidRDefault="000F0E0E">
            <w:pPr>
              <w:spacing w:after="160" w:line="276" w:lineRule="auto"/>
              <w:contextualSpacing/>
              <w:rPr>
                <w:snapToGrid w:val="0"/>
                <w:kern w:val="2"/>
                <w:lang w:val="fr-FR"/>
              </w:rPr>
            </w:pPr>
            <w:r>
              <w:rPr>
                <w:b/>
                <w:bCs/>
                <w:snapToGrid w:val="0"/>
                <w:kern w:val="2"/>
                <w:lang w:val="fr-FR"/>
              </w:rPr>
              <w:t>Le projet est-il dans ces six derniers mois de mise en œuvre ?</w:t>
            </w:r>
            <w:r>
              <w:rPr>
                <w:snapToGrid w:val="0"/>
                <w:kern w:val="2"/>
                <w:lang w:val="fr-FR"/>
              </w:rPr>
              <w:t xml:space="preserve"> </w:t>
            </w:r>
            <w:r>
              <w:rPr>
                <w:b/>
                <w:bCs/>
                <w:snapToGrid w:val="0"/>
                <w:kern w:val="2"/>
                <w:lang w:val="fr-FR"/>
              </w:rPr>
              <w:t>NON.</w:t>
            </w:r>
          </w:p>
          <w:p w14:paraId="5B783322" w14:textId="77777777" w:rsidR="001B58C7" w:rsidRDefault="001B58C7">
            <w:pPr>
              <w:spacing w:after="160" w:line="276" w:lineRule="auto"/>
              <w:contextualSpacing/>
              <w:rPr>
                <w:snapToGrid w:val="0"/>
                <w:kern w:val="2"/>
                <w:lang w:val="fr-FR"/>
              </w:rPr>
            </w:pPr>
          </w:p>
        </w:tc>
      </w:tr>
      <w:tr w:rsidR="001B58C7" w14:paraId="4182EB32" w14:textId="77777777">
        <w:trPr>
          <w:trHeight w:val="368"/>
        </w:trPr>
        <w:tc>
          <w:tcPr>
            <w:tcW w:w="10036" w:type="dxa"/>
            <w:gridSpan w:val="2"/>
          </w:tcPr>
          <w:p w14:paraId="3AFE6B43" w14:textId="77777777" w:rsidR="001B58C7" w:rsidRDefault="000F0E0E">
            <w:pPr>
              <w:spacing w:after="160" w:line="276" w:lineRule="auto"/>
              <w:rPr>
                <w:b/>
                <w:bCs/>
                <w:iCs/>
                <w:kern w:val="2"/>
                <w:lang w:val="fr-FR"/>
              </w:rPr>
            </w:pPr>
            <w:r>
              <w:rPr>
                <w:b/>
                <w:bCs/>
                <w:iCs/>
                <w:kern w:val="2"/>
                <w:lang w:val="fr-FR"/>
              </w:rPr>
              <w:t>Est-ce que le projet fait part d’une des fenêtres prioritaires spécifiques du PBF :</w:t>
            </w:r>
          </w:p>
          <w:p w14:paraId="4D65AE0C" w14:textId="77777777" w:rsidR="001B58C7" w:rsidRDefault="000F0E0E">
            <w:pPr>
              <w:spacing w:after="160" w:line="276" w:lineRule="auto"/>
              <w:rPr>
                <w:kern w:val="2"/>
                <w:lang w:val="fr-FR"/>
              </w:rPr>
            </w:pPr>
            <w:r>
              <w:rPr>
                <w:kern w:val="2"/>
                <w:lang w:val="fr-FR"/>
              </w:rPr>
              <w:fldChar w:fldCharType="begin">
                <w:ffData>
                  <w:name w:val=""/>
                  <w:enabled/>
                  <w:calcOnExit w:val="0"/>
                  <w:checkBox>
                    <w:sizeAuto/>
                    <w:default w:val="0"/>
                    <w:checked w:val="0"/>
                  </w:checkBox>
                </w:ffData>
              </w:fldChar>
            </w:r>
            <w:r>
              <w:rPr>
                <w:kern w:val="2"/>
                <w:lang w:val="fr-FR"/>
              </w:rPr>
              <w:instrText xml:space="preserve"> FORMCHECKBOX </w:instrText>
            </w:r>
            <w:r>
              <w:rPr>
                <w:kern w:val="2"/>
                <w:lang w:val="fr-FR"/>
              </w:rPr>
            </w:r>
            <w:r>
              <w:rPr>
                <w:kern w:val="2"/>
                <w:lang w:val="fr-FR"/>
              </w:rPr>
              <w:fldChar w:fldCharType="separate"/>
            </w:r>
            <w:r>
              <w:rPr>
                <w:kern w:val="2"/>
                <w:lang w:val="fr-FR"/>
              </w:rPr>
              <w:fldChar w:fldCharType="end"/>
            </w:r>
            <w:r>
              <w:rPr>
                <w:kern w:val="2"/>
                <w:lang w:val="fr-FR"/>
              </w:rPr>
              <w:t xml:space="preserve"> Initiative de promotion du genre</w:t>
            </w:r>
          </w:p>
          <w:p w14:paraId="50D2F1DA" w14:textId="77777777" w:rsidR="001B58C7" w:rsidRDefault="000F0E0E">
            <w:pPr>
              <w:spacing w:after="160" w:line="276" w:lineRule="auto"/>
              <w:rPr>
                <w:kern w:val="2"/>
                <w:lang w:val="fr-FR"/>
              </w:rPr>
            </w:pPr>
            <w:r>
              <w:rPr>
                <w:kern w:val="2"/>
                <w:lang w:val="fr-FR"/>
              </w:rPr>
              <w:fldChar w:fldCharType="begin">
                <w:ffData>
                  <w:name w:val=""/>
                  <w:enabled/>
                  <w:calcOnExit w:val="0"/>
                  <w:checkBox>
                    <w:sizeAuto/>
                    <w:default w:val="0"/>
                    <w:checked w:val="0"/>
                  </w:checkBox>
                </w:ffData>
              </w:fldChar>
            </w:r>
            <w:r>
              <w:rPr>
                <w:kern w:val="2"/>
                <w:lang w:val="fr-FR"/>
              </w:rPr>
              <w:instrText xml:space="preserve"> FORMCHECKBOX </w:instrText>
            </w:r>
            <w:r>
              <w:rPr>
                <w:kern w:val="2"/>
                <w:lang w:val="fr-FR"/>
              </w:rPr>
            </w:r>
            <w:r>
              <w:rPr>
                <w:kern w:val="2"/>
                <w:lang w:val="fr-FR"/>
              </w:rPr>
              <w:fldChar w:fldCharType="separate"/>
            </w:r>
            <w:r>
              <w:rPr>
                <w:kern w:val="2"/>
                <w:lang w:val="fr-FR"/>
              </w:rPr>
              <w:fldChar w:fldCharType="end"/>
            </w:r>
            <w:r>
              <w:rPr>
                <w:kern w:val="2"/>
                <w:lang w:val="fr-FR"/>
              </w:rPr>
              <w:t xml:space="preserve"> Initiative de promotion de la jeunesse</w:t>
            </w:r>
          </w:p>
          <w:bookmarkStart w:id="0" w:name="CheckBox1"/>
          <w:p w14:paraId="47951CD3" w14:textId="77777777" w:rsidR="001B58C7" w:rsidRDefault="000F0E0E">
            <w:pPr>
              <w:spacing w:after="160" w:line="276" w:lineRule="auto"/>
              <w:rPr>
                <w:kern w:val="2"/>
                <w:sz w:val="22"/>
                <w:szCs w:val="22"/>
                <w:lang w:val="fr-FR"/>
              </w:rPr>
            </w:pPr>
            <w:r>
              <w:rPr>
                <w:kern w:val="2"/>
                <w:lang w:val="fr-FR"/>
              </w:rPr>
              <w:fldChar w:fldCharType="begin">
                <w:ffData>
                  <w:name w:val="CheckBox1"/>
                  <w:enabled/>
                  <w:calcOnExit w:val="0"/>
                  <w:checkBox>
                    <w:sizeAuto/>
                    <w:default w:val="1"/>
                    <w:checked/>
                  </w:checkBox>
                </w:ffData>
              </w:fldChar>
            </w:r>
            <w:r>
              <w:rPr>
                <w:kern w:val="2"/>
                <w:lang w:val="fr-FR"/>
              </w:rPr>
              <w:instrText>FORMCHECKBOX</w:instrText>
            </w:r>
            <w:r>
              <w:rPr>
                <w:kern w:val="2"/>
                <w:lang w:val="fr-FR"/>
              </w:rPr>
            </w:r>
            <w:r>
              <w:rPr>
                <w:kern w:val="2"/>
                <w:lang w:val="fr-FR"/>
              </w:rPr>
              <w:fldChar w:fldCharType="separate"/>
            </w:r>
            <w:r>
              <w:rPr>
                <w:kern w:val="2"/>
                <w:lang w:val="fr-FR"/>
              </w:rPr>
              <w:fldChar w:fldCharType="end"/>
            </w:r>
            <w:bookmarkEnd w:id="0"/>
            <w:r>
              <w:rPr>
                <w:kern w:val="2"/>
                <w:lang w:val="fr-FR"/>
              </w:rPr>
              <w:t xml:space="preserve"> Transition entre différentes configurations de </w:t>
            </w:r>
            <w:r>
              <w:rPr>
                <w:kern w:val="2"/>
                <w:sz w:val="22"/>
                <w:szCs w:val="22"/>
                <w:lang w:val="fr-FR"/>
              </w:rPr>
              <w:t>l’ONU (e.g. sortie de la mission de maintien de la paix)</w:t>
            </w:r>
          </w:p>
          <w:p w14:paraId="3E7FA252" w14:textId="77777777" w:rsidR="001B58C7" w:rsidRDefault="000F0E0E">
            <w:pPr>
              <w:spacing w:after="160" w:line="276" w:lineRule="auto"/>
              <w:rPr>
                <w:kern w:val="2"/>
                <w:lang w:val="fr-FR"/>
              </w:rPr>
            </w:pPr>
            <w:r>
              <w:rPr>
                <w:kern w:val="2"/>
                <w:lang w:val="fr-FR"/>
              </w:rPr>
              <w:fldChar w:fldCharType="begin">
                <w:ffData>
                  <w:name w:val=""/>
                  <w:enabled/>
                  <w:calcOnExit w:val="0"/>
                  <w:checkBox>
                    <w:sizeAuto/>
                    <w:default w:val="0"/>
                    <w:checked w:val="0"/>
                  </w:checkBox>
                </w:ffData>
              </w:fldChar>
            </w:r>
            <w:r>
              <w:rPr>
                <w:kern w:val="2"/>
                <w:lang w:val="fr-FR"/>
              </w:rPr>
              <w:instrText xml:space="preserve"> FORMCHECKBOX </w:instrText>
            </w:r>
            <w:r>
              <w:rPr>
                <w:kern w:val="2"/>
                <w:lang w:val="fr-FR"/>
              </w:rPr>
            </w:r>
            <w:r>
              <w:rPr>
                <w:kern w:val="2"/>
                <w:lang w:val="fr-FR"/>
              </w:rPr>
              <w:fldChar w:fldCharType="separate"/>
            </w:r>
            <w:r>
              <w:rPr>
                <w:kern w:val="2"/>
                <w:lang w:val="fr-FR"/>
              </w:rPr>
              <w:fldChar w:fldCharType="end"/>
            </w:r>
            <w:r>
              <w:rPr>
                <w:kern w:val="2"/>
                <w:lang w:val="fr-FR"/>
              </w:rPr>
              <w:t xml:space="preserve"> Projet transfrontalier ou régional</w:t>
            </w:r>
          </w:p>
        </w:tc>
      </w:tr>
      <w:tr w:rsidR="001B58C7" w:rsidRPr="00ED3A8A" w14:paraId="40379F40" w14:textId="77777777">
        <w:trPr>
          <w:trHeight w:val="1124"/>
        </w:trPr>
        <w:tc>
          <w:tcPr>
            <w:tcW w:w="10036" w:type="dxa"/>
            <w:gridSpan w:val="2"/>
          </w:tcPr>
          <w:p w14:paraId="5685BAF9" w14:textId="77777777" w:rsidR="001B58C7" w:rsidRDefault="000F0E0E">
            <w:pPr>
              <w:spacing w:after="160" w:line="276" w:lineRule="auto"/>
              <w:rPr>
                <w:b/>
                <w:bCs/>
                <w:iCs/>
                <w:kern w:val="2"/>
                <w:lang w:val="fr-FR"/>
              </w:rPr>
            </w:pPr>
            <w:r>
              <w:rPr>
                <w:b/>
                <w:bCs/>
                <w:iCs/>
                <w:kern w:val="2"/>
                <w:lang w:val="fr-FR"/>
              </w:rPr>
              <w:t>Budget PBF total approuvé (par agence récipiendaire</w:t>
            </w:r>
            <w:proofErr w:type="gramStart"/>
            <w:r>
              <w:rPr>
                <w:b/>
                <w:bCs/>
                <w:iCs/>
                <w:kern w:val="2"/>
                <w:lang w:val="fr-FR"/>
              </w:rPr>
              <w:t>):</w:t>
            </w:r>
            <w:proofErr w:type="gramEnd"/>
            <w:r>
              <w:rPr>
                <w:b/>
                <w:bCs/>
                <w:iCs/>
                <w:kern w:val="2"/>
                <w:lang w:val="fr-FR"/>
              </w:rPr>
              <w:t xml:space="preserve"> </w:t>
            </w:r>
          </w:p>
          <w:p w14:paraId="6362CC2E" w14:textId="77777777" w:rsidR="001B58C7" w:rsidRDefault="000F0E0E">
            <w:pPr>
              <w:pStyle w:val="Paragraphedeliste"/>
              <w:numPr>
                <w:ilvl w:val="0"/>
                <w:numId w:val="1"/>
              </w:numPr>
              <w:spacing w:after="160" w:line="276" w:lineRule="auto"/>
              <w:rPr>
                <w:iCs/>
                <w:kern w:val="2"/>
                <w:lang w:val="fr-FR"/>
              </w:rPr>
            </w:pPr>
            <w:r>
              <w:rPr>
                <w:iCs/>
                <w:kern w:val="2"/>
                <w:lang w:val="fr-FR"/>
              </w:rPr>
              <w:t xml:space="preserve">Veuillez indiquer les montants totaux en dollars US alloués à chaque organisation récipiendaire </w:t>
            </w:r>
          </w:p>
          <w:p w14:paraId="603FE5DD" w14:textId="77777777" w:rsidR="001B58C7" w:rsidRDefault="000F0E0E">
            <w:pPr>
              <w:pStyle w:val="Paragraphedeliste"/>
              <w:numPr>
                <w:ilvl w:val="0"/>
                <w:numId w:val="1"/>
              </w:numPr>
              <w:spacing w:after="160" w:line="276" w:lineRule="auto"/>
              <w:rPr>
                <w:iCs/>
                <w:kern w:val="2"/>
                <w:lang w:val="fr-FR"/>
              </w:rPr>
            </w:pPr>
            <w:r>
              <w:rPr>
                <w:iCs/>
                <w:kern w:val="2"/>
                <w:lang w:val="fr-FR"/>
              </w:rPr>
              <w:lastRenderedPageBreak/>
              <w:t>Veuillez indiquer le montant du budget initial, le montant transféré à ce jour et l'estimation des dépenses par récipiendaire.</w:t>
            </w:r>
          </w:p>
          <w:p w14:paraId="0E62315F" w14:textId="77777777" w:rsidR="001B58C7" w:rsidRDefault="000F0E0E">
            <w:pPr>
              <w:pStyle w:val="Paragraphedeliste"/>
              <w:numPr>
                <w:ilvl w:val="0"/>
                <w:numId w:val="1"/>
              </w:numPr>
              <w:spacing w:after="160" w:line="276" w:lineRule="auto"/>
              <w:rPr>
                <w:iCs/>
                <w:kern w:val="2"/>
                <w:lang w:val="fr-FR"/>
              </w:rPr>
            </w:pPr>
            <w:r>
              <w:rPr>
                <w:iCs/>
                <w:kern w:val="2"/>
                <w:lang w:val="fr-FR"/>
              </w:rPr>
              <w:t>Pour les projets transfrontaliers, regroupez les montants par agences, même s’il s’agit de différents bureaux pays, Vous aurez l’occasion de partager un budget détaillé dans la prochaine section.</w:t>
            </w:r>
          </w:p>
          <w:tbl>
            <w:tblPr>
              <w:tblStyle w:val="Grilledutableau"/>
              <w:tblW w:w="0" w:type="auto"/>
              <w:tblLayout w:type="fixed"/>
              <w:tblLook w:val="04A0" w:firstRow="1" w:lastRow="0" w:firstColumn="1" w:lastColumn="0" w:noHBand="0" w:noVBand="1"/>
            </w:tblPr>
            <w:tblGrid>
              <w:gridCol w:w="3081"/>
              <w:gridCol w:w="2736"/>
              <w:gridCol w:w="2226"/>
              <w:gridCol w:w="1811"/>
            </w:tblGrid>
            <w:tr w:rsidR="001B58C7" w:rsidRPr="00ED3A8A" w14:paraId="74204756" w14:textId="77777777">
              <w:tc>
                <w:tcPr>
                  <w:tcW w:w="3081" w:type="dxa"/>
                </w:tcPr>
                <w:p w14:paraId="680CB412" w14:textId="77777777" w:rsidR="001B58C7" w:rsidRDefault="000F0E0E">
                  <w:pPr>
                    <w:spacing w:after="160" w:line="276" w:lineRule="auto"/>
                    <w:rPr>
                      <w:b/>
                      <w:bCs/>
                      <w:iCs/>
                      <w:kern w:val="2"/>
                      <w:lang w:val="fr-FR"/>
                    </w:rPr>
                  </w:pPr>
                  <w:r>
                    <w:rPr>
                      <w:b/>
                      <w:bCs/>
                      <w:iCs/>
                      <w:kern w:val="2"/>
                      <w:lang w:val="fr-FR"/>
                    </w:rPr>
                    <w:t>Récipiendaire</w:t>
                  </w:r>
                </w:p>
              </w:tc>
              <w:tc>
                <w:tcPr>
                  <w:tcW w:w="2736" w:type="dxa"/>
                </w:tcPr>
                <w:p w14:paraId="4A64F6F9" w14:textId="77777777" w:rsidR="001B58C7" w:rsidRDefault="000F0E0E">
                  <w:pPr>
                    <w:spacing w:after="160" w:line="276" w:lineRule="auto"/>
                    <w:jc w:val="center"/>
                    <w:rPr>
                      <w:b/>
                      <w:bCs/>
                      <w:kern w:val="2"/>
                      <w:lang w:val="fr-FR"/>
                    </w:rPr>
                  </w:pPr>
                  <w:r>
                    <w:rPr>
                      <w:b/>
                      <w:bCs/>
                      <w:kern w:val="2"/>
                      <w:lang w:val="fr-FR"/>
                    </w:rPr>
                    <w:t>Budget alloué (montant total en USD)</w:t>
                  </w:r>
                </w:p>
              </w:tc>
              <w:tc>
                <w:tcPr>
                  <w:tcW w:w="2226" w:type="dxa"/>
                </w:tcPr>
                <w:p w14:paraId="1E637F88" w14:textId="77777777" w:rsidR="001B58C7" w:rsidRDefault="000F0E0E">
                  <w:pPr>
                    <w:spacing w:after="160" w:line="276" w:lineRule="auto"/>
                    <w:jc w:val="center"/>
                    <w:rPr>
                      <w:b/>
                      <w:bCs/>
                      <w:kern w:val="2"/>
                      <w:lang w:val="fr-FR"/>
                    </w:rPr>
                  </w:pPr>
                  <w:r>
                    <w:rPr>
                      <w:b/>
                      <w:bCs/>
                      <w:kern w:val="2"/>
                      <w:lang w:val="fr-FR"/>
                    </w:rPr>
                    <w:t>Transferts à ce jour (montant total en USD)</w:t>
                  </w:r>
                </w:p>
              </w:tc>
              <w:tc>
                <w:tcPr>
                  <w:tcW w:w="1811" w:type="dxa"/>
                </w:tcPr>
                <w:p w14:paraId="6A204C69" w14:textId="77777777" w:rsidR="001B58C7" w:rsidRDefault="000F0E0E">
                  <w:pPr>
                    <w:spacing w:after="160" w:line="276" w:lineRule="auto"/>
                    <w:jc w:val="center"/>
                    <w:rPr>
                      <w:b/>
                      <w:bCs/>
                      <w:kern w:val="2"/>
                      <w:lang w:val="fr-FR"/>
                    </w:rPr>
                  </w:pPr>
                  <w:r>
                    <w:rPr>
                      <w:b/>
                      <w:bCs/>
                      <w:kern w:val="2"/>
                      <w:lang w:val="fr-FR"/>
                    </w:rPr>
                    <w:t>Dépenses à ce jour (montant total en USD)</w:t>
                  </w:r>
                </w:p>
              </w:tc>
            </w:tr>
            <w:tr w:rsidR="001B58C7" w:rsidRPr="00ED3A8A" w14:paraId="164C17EB" w14:textId="77777777">
              <w:trPr>
                <w:trHeight w:val="454"/>
              </w:trPr>
              <w:tc>
                <w:tcPr>
                  <w:tcW w:w="3081" w:type="dxa"/>
                </w:tcPr>
                <w:p w14:paraId="155D9D5D" w14:textId="77777777" w:rsidR="001B58C7" w:rsidRDefault="000F0E0E">
                  <w:pPr>
                    <w:spacing w:after="160" w:line="276" w:lineRule="auto"/>
                    <w:rPr>
                      <w:b/>
                      <w:bCs/>
                      <w:iCs/>
                      <w:kern w:val="2"/>
                      <w:lang w:val="fr-FR"/>
                    </w:rPr>
                  </w:pPr>
                  <w:r>
                    <w:rPr>
                      <w:b/>
                      <w:bCs/>
                      <w:iCs/>
                      <w:kern w:val="2"/>
                      <w:lang w:val="fr-FR"/>
                    </w:rPr>
                    <w:t>PNUD</w:t>
                  </w:r>
                </w:p>
              </w:tc>
              <w:tc>
                <w:tcPr>
                  <w:tcW w:w="2736" w:type="dxa"/>
                </w:tcPr>
                <w:p w14:paraId="436ABAA6" w14:textId="77777777" w:rsidR="001B58C7" w:rsidRDefault="000F0E0E">
                  <w:pPr>
                    <w:spacing w:after="160" w:line="276" w:lineRule="auto"/>
                    <w:jc w:val="center"/>
                    <w:rPr>
                      <w:b/>
                      <w:bCs/>
                      <w:iCs/>
                      <w:kern w:val="2"/>
                      <w:lang w:val="fr-FR"/>
                    </w:rPr>
                  </w:pPr>
                  <w:r>
                    <w:rPr>
                      <w:b/>
                      <w:bCs/>
                      <w:iCs/>
                      <w:kern w:val="2"/>
                      <w:lang w:val="fr-FR"/>
                    </w:rPr>
                    <w:t>$ 870,000</w:t>
                  </w:r>
                </w:p>
              </w:tc>
              <w:tc>
                <w:tcPr>
                  <w:tcW w:w="2226" w:type="dxa"/>
                </w:tcPr>
                <w:p w14:paraId="70873F2E" w14:textId="77777777" w:rsidR="001B58C7" w:rsidRDefault="000F0E0E">
                  <w:pPr>
                    <w:spacing w:after="160" w:line="276" w:lineRule="auto"/>
                    <w:jc w:val="center"/>
                    <w:rPr>
                      <w:b/>
                      <w:bCs/>
                      <w:iCs/>
                      <w:kern w:val="2"/>
                      <w:lang w:val="fr-FR"/>
                    </w:rPr>
                  </w:pPr>
                  <w:r>
                    <w:rPr>
                      <w:b/>
                      <w:bCs/>
                      <w:iCs/>
                      <w:kern w:val="2"/>
                      <w:lang w:val="fr-FR"/>
                    </w:rPr>
                    <w:t>$ 609, 000</w:t>
                  </w:r>
                </w:p>
              </w:tc>
              <w:tc>
                <w:tcPr>
                  <w:tcW w:w="1811" w:type="dxa"/>
                </w:tcPr>
                <w:p w14:paraId="0F8FAF7D" w14:textId="77777777" w:rsidR="001B58C7" w:rsidRDefault="000F0E0E">
                  <w:pPr>
                    <w:spacing w:after="160" w:line="276" w:lineRule="auto"/>
                    <w:jc w:val="both"/>
                    <w:rPr>
                      <w:b/>
                      <w:bCs/>
                      <w:iCs/>
                      <w:kern w:val="2"/>
                      <w:lang w:val="fr-FR"/>
                    </w:rPr>
                  </w:pPr>
                  <w:r>
                    <w:rPr>
                      <w:b/>
                      <w:bCs/>
                      <w:iCs/>
                      <w:kern w:val="2"/>
                      <w:lang w:val="fr-FR"/>
                    </w:rPr>
                    <w:t>$ 304, 000</w:t>
                  </w:r>
                </w:p>
              </w:tc>
            </w:tr>
            <w:tr w:rsidR="001B58C7" w:rsidRPr="00ED3A8A" w14:paraId="65FF25D1" w14:textId="77777777">
              <w:trPr>
                <w:trHeight w:val="454"/>
              </w:trPr>
              <w:tc>
                <w:tcPr>
                  <w:tcW w:w="3081" w:type="dxa"/>
                </w:tcPr>
                <w:p w14:paraId="003E4D1E" w14:textId="77777777" w:rsidR="001B58C7" w:rsidRDefault="000F0E0E">
                  <w:pPr>
                    <w:spacing w:after="160" w:line="276" w:lineRule="auto"/>
                    <w:rPr>
                      <w:b/>
                      <w:bCs/>
                      <w:iCs/>
                      <w:kern w:val="2"/>
                      <w:lang w:val="fr-FR"/>
                    </w:rPr>
                  </w:pPr>
                  <w:r>
                    <w:rPr>
                      <w:b/>
                      <w:bCs/>
                      <w:iCs/>
                      <w:kern w:val="2"/>
                      <w:lang w:val="fr-FR"/>
                    </w:rPr>
                    <w:t>BCNUDH</w:t>
                  </w:r>
                </w:p>
              </w:tc>
              <w:tc>
                <w:tcPr>
                  <w:tcW w:w="2736" w:type="dxa"/>
                </w:tcPr>
                <w:p w14:paraId="71213AF5" w14:textId="77777777" w:rsidR="001B58C7" w:rsidRDefault="000F0E0E">
                  <w:pPr>
                    <w:spacing w:after="160" w:line="276" w:lineRule="auto"/>
                    <w:jc w:val="center"/>
                    <w:rPr>
                      <w:b/>
                      <w:bCs/>
                      <w:iCs/>
                      <w:kern w:val="2"/>
                      <w:lang w:val="fr-FR"/>
                    </w:rPr>
                  </w:pPr>
                  <w:r>
                    <w:rPr>
                      <w:b/>
                      <w:bCs/>
                      <w:iCs/>
                      <w:kern w:val="2"/>
                      <w:lang w:val="fr-FR"/>
                    </w:rPr>
                    <w:t>$ 565, 000</w:t>
                  </w:r>
                </w:p>
              </w:tc>
              <w:tc>
                <w:tcPr>
                  <w:tcW w:w="2226" w:type="dxa"/>
                </w:tcPr>
                <w:p w14:paraId="22DFB8A7" w14:textId="77777777" w:rsidR="001B58C7" w:rsidRDefault="000F0E0E">
                  <w:pPr>
                    <w:spacing w:after="160" w:line="276" w:lineRule="auto"/>
                    <w:jc w:val="center"/>
                    <w:rPr>
                      <w:b/>
                      <w:bCs/>
                      <w:iCs/>
                      <w:kern w:val="2"/>
                      <w:lang w:val="fr-FR"/>
                    </w:rPr>
                  </w:pPr>
                  <w:r>
                    <w:rPr>
                      <w:b/>
                      <w:bCs/>
                      <w:iCs/>
                      <w:kern w:val="2"/>
                      <w:lang w:val="fr-FR"/>
                    </w:rPr>
                    <w:t>$ 395, 000</w:t>
                  </w:r>
                </w:p>
              </w:tc>
              <w:tc>
                <w:tcPr>
                  <w:tcW w:w="1811" w:type="dxa"/>
                </w:tcPr>
                <w:p w14:paraId="7BBB92E4" w14:textId="77777777" w:rsidR="001B58C7" w:rsidRDefault="000F0E0E">
                  <w:pPr>
                    <w:spacing w:after="160" w:line="276" w:lineRule="auto"/>
                    <w:jc w:val="both"/>
                    <w:rPr>
                      <w:b/>
                      <w:bCs/>
                      <w:iCs/>
                      <w:kern w:val="2"/>
                      <w:lang w:val="fr-FR"/>
                    </w:rPr>
                  </w:pPr>
                  <w:r>
                    <w:rPr>
                      <w:b/>
                      <w:bCs/>
                      <w:iCs/>
                      <w:kern w:val="2"/>
                      <w:lang w:val="fr-FR"/>
                    </w:rPr>
                    <w:t>$ 325,589</w:t>
                  </w:r>
                </w:p>
              </w:tc>
            </w:tr>
            <w:tr w:rsidR="001B58C7" w:rsidRPr="00ED3A8A" w14:paraId="5FEADF67" w14:textId="77777777">
              <w:trPr>
                <w:trHeight w:val="454"/>
              </w:trPr>
              <w:tc>
                <w:tcPr>
                  <w:tcW w:w="3081" w:type="dxa"/>
                </w:tcPr>
                <w:p w14:paraId="085ABFD6" w14:textId="77777777" w:rsidR="001B58C7" w:rsidRDefault="000F0E0E">
                  <w:pPr>
                    <w:spacing w:after="160" w:line="276" w:lineRule="auto"/>
                    <w:rPr>
                      <w:b/>
                      <w:bCs/>
                      <w:iCs/>
                      <w:kern w:val="2"/>
                      <w:lang w:val="fr-FR"/>
                    </w:rPr>
                  </w:pPr>
                  <w:r>
                    <w:rPr>
                      <w:b/>
                      <w:bCs/>
                      <w:iCs/>
                      <w:kern w:val="2"/>
                      <w:lang w:val="fr-FR"/>
                    </w:rPr>
                    <w:t>UNHCR</w:t>
                  </w:r>
                </w:p>
              </w:tc>
              <w:tc>
                <w:tcPr>
                  <w:tcW w:w="2736" w:type="dxa"/>
                </w:tcPr>
                <w:p w14:paraId="1C7E205A" w14:textId="77777777" w:rsidR="001B58C7" w:rsidRDefault="000F0E0E">
                  <w:pPr>
                    <w:spacing w:after="160" w:line="276" w:lineRule="auto"/>
                    <w:jc w:val="center"/>
                    <w:rPr>
                      <w:b/>
                      <w:bCs/>
                      <w:iCs/>
                      <w:kern w:val="2"/>
                      <w:lang w:val="fr-FR"/>
                    </w:rPr>
                  </w:pPr>
                  <w:r>
                    <w:rPr>
                      <w:b/>
                      <w:bCs/>
                      <w:iCs/>
                      <w:kern w:val="2"/>
                      <w:lang w:val="fr-FR"/>
                    </w:rPr>
                    <w:t>$ 565, 000</w:t>
                  </w:r>
                </w:p>
              </w:tc>
              <w:tc>
                <w:tcPr>
                  <w:tcW w:w="2226" w:type="dxa"/>
                </w:tcPr>
                <w:p w14:paraId="2DABEB99" w14:textId="77777777" w:rsidR="001B58C7" w:rsidRDefault="000F0E0E">
                  <w:pPr>
                    <w:spacing w:after="160" w:line="276" w:lineRule="auto"/>
                    <w:jc w:val="center"/>
                    <w:rPr>
                      <w:b/>
                      <w:bCs/>
                      <w:iCs/>
                      <w:kern w:val="2"/>
                      <w:lang w:val="fr-FR"/>
                    </w:rPr>
                  </w:pPr>
                  <w:r>
                    <w:rPr>
                      <w:b/>
                      <w:bCs/>
                      <w:iCs/>
                      <w:kern w:val="2"/>
                      <w:lang w:val="fr-FR"/>
                    </w:rPr>
                    <w:t>$ 395,000</w:t>
                  </w:r>
                </w:p>
              </w:tc>
              <w:tc>
                <w:tcPr>
                  <w:tcW w:w="1811" w:type="dxa"/>
                </w:tcPr>
                <w:p w14:paraId="377A0A53" w14:textId="77777777" w:rsidR="001B58C7" w:rsidRDefault="000F0E0E">
                  <w:pPr>
                    <w:spacing w:after="160" w:line="276" w:lineRule="auto"/>
                    <w:rPr>
                      <w:b/>
                      <w:bCs/>
                      <w:iCs/>
                      <w:kern w:val="2"/>
                      <w:lang w:val="fr-FR"/>
                    </w:rPr>
                  </w:pPr>
                  <w:r>
                    <w:rPr>
                      <w:b/>
                      <w:bCs/>
                      <w:iCs/>
                      <w:kern w:val="2"/>
                      <w:lang w:val="fr-FR"/>
                    </w:rPr>
                    <w:t>$ 395,000</w:t>
                  </w:r>
                </w:p>
              </w:tc>
            </w:tr>
            <w:tr w:rsidR="001B58C7" w:rsidRPr="00ED3A8A" w14:paraId="10AF0EF3" w14:textId="77777777">
              <w:trPr>
                <w:trHeight w:val="454"/>
              </w:trPr>
              <w:tc>
                <w:tcPr>
                  <w:tcW w:w="3081" w:type="dxa"/>
                </w:tcPr>
                <w:p w14:paraId="508956AC" w14:textId="77777777" w:rsidR="001B58C7" w:rsidRDefault="000F0E0E">
                  <w:pPr>
                    <w:spacing w:after="160" w:line="276" w:lineRule="auto"/>
                    <w:rPr>
                      <w:b/>
                      <w:bCs/>
                      <w:iCs/>
                      <w:kern w:val="2"/>
                      <w:lang w:val="fr-FR"/>
                    </w:rPr>
                  </w:pPr>
                  <w:r>
                    <w:rPr>
                      <w:b/>
                      <w:bCs/>
                      <w:iCs/>
                      <w:kern w:val="2"/>
                      <w:lang w:val="fr-FR"/>
                    </w:rPr>
                    <w:t>TOTAL</w:t>
                  </w:r>
                </w:p>
              </w:tc>
              <w:tc>
                <w:tcPr>
                  <w:tcW w:w="2736" w:type="dxa"/>
                </w:tcPr>
                <w:p w14:paraId="3FCEDFAC" w14:textId="77777777" w:rsidR="001B58C7" w:rsidRDefault="000F0E0E">
                  <w:pPr>
                    <w:spacing w:after="160" w:line="276" w:lineRule="auto"/>
                    <w:jc w:val="center"/>
                    <w:rPr>
                      <w:b/>
                      <w:bCs/>
                      <w:iCs/>
                      <w:kern w:val="2"/>
                      <w:lang w:val="fr-FR"/>
                    </w:rPr>
                  </w:pPr>
                  <w:r>
                    <w:rPr>
                      <w:b/>
                      <w:bCs/>
                      <w:iCs/>
                      <w:kern w:val="2"/>
                      <w:lang w:val="fr-FR"/>
                    </w:rPr>
                    <w:t>$ 2,000, 000</w:t>
                  </w:r>
                </w:p>
              </w:tc>
              <w:tc>
                <w:tcPr>
                  <w:tcW w:w="2226" w:type="dxa"/>
                </w:tcPr>
                <w:p w14:paraId="7E67A57E" w14:textId="77777777" w:rsidR="001B58C7" w:rsidRDefault="000F0E0E">
                  <w:pPr>
                    <w:spacing w:after="160" w:line="276" w:lineRule="auto"/>
                    <w:jc w:val="center"/>
                    <w:rPr>
                      <w:b/>
                      <w:bCs/>
                      <w:iCs/>
                      <w:kern w:val="2"/>
                      <w:lang w:val="fr-FR"/>
                    </w:rPr>
                  </w:pPr>
                  <w:r>
                    <w:rPr>
                      <w:b/>
                      <w:bCs/>
                      <w:iCs/>
                      <w:kern w:val="2"/>
                      <w:lang w:val="fr-FR"/>
                    </w:rPr>
                    <w:t>$ 1,400,000</w:t>
                  </w:r>
                </w:p>
              </w:tc>
              <w:tc>
                <w:tcPr>
                  <w:tcW w:w="1811" w:type="dxa"/>
                </w:tcPr>
                <w:p w14:paraId="6944D512" w14:textId="77777777" w:rsidR="001B58C7" w:rsidRDefault="000F0E0E">
                  <w:pPr>
                    <w:spacing w:after="160" w:line="276" w:lineRule="auto"/>
                    <w:jc w:val="both"/>
                    <w:rPr>
                      <w:b/>
                      <w:bCs/>
                      <w:iCs/>
                      <w:kern w:val="2"/>
                      <w:lang w:val="fr-FR"/>
                    </w:rPr>
                  </w:pPr>
                  <w:r>
                    <w:rPr>
                      <w:b/>
                      <w:bCs/>
                      <w:iCs/>
                      <w:kern w:val="2"/>
                      <w:lang w:val="fr-FR"/>
                    </w:rPr>
                    <w:t>$ 1,024,589</w:t>
                  </w:r>
                </w:p>
              </w:tc>
            </w:tr>
          </w:tbl>
          <w:p w14:paraId="26DD39F9" w14:textId="77777777" w:rsidR="001B58C7" w:rsidRDefault="000F0E0E">
            <w:pPr>
              <w:pStyle w:val="Textedebulles"/>
              <w:numPr>
                <w:ilvl w:val="12"/>
                <w:numId w:val="0"/>
              </w:numPr>
              <w:tabs>
                <w:tab w:val="left" w:pos="-720"/>
                <w:tab w:val="left" w:pos="4500"/>
              </w:tabs>
              <w:suppressAutoHyphens/>
              <w:spacing w:after="160" w:line="276" w:lineRule="auto"/>
              <w:rPr>
                <w:rFonts w:ascii="Times New Roman" w:hAnsi="Times New Roman" w:cs="Times New Roman"/>
                <w:bCs/>
                <w:iCs/>
                <w:snapToGrid w:val="0"/>
                <w:kern w:val="2"/>
                <w:sz w:val="24"/>
                <w:szCs w:val="24"/>
                <w:lang w:val="fr-FR"/>
              </w:rPr>
            </w:pPr>
            <w:r>
              <w:rPr>
                <w:rFonts w:ascii="Times New Roman" w:hAnsi="Times New Roman" w:cs="Times New Roman"/>
                <w:bCs/>
                <w:iCs/>
                <w:snapToGrid w:val="0"/>
                <w:kern w:val="2"/>
                <w:sz w:val="24"/>
                <w:szCs w:val="24"/>
                <w:lang w:val="fr-FR"/>
              </w:rPr>
              <w:t>Taux de mise en œuvre approximatif comme pourcentage du budget total du projet</w:t>
            </w:r>
            <w:r>
              <w:rPr>
                <w:rFonts w:ascii="Times New Roman" w:hAnsi="Times New Roman" w:cs="Times New Roman"/>
                <w:b/>
                <w:iCs/>
                <w:snapToGrid w:val="0"/>
                <w:kern w:val="2"/>
                <w:sz w:val="24"/>
                <w:szCs w:val="24"/>
                <w:lang w:val="fr-FR"/>
              </w:rPr>
              <w:t xml:space="preserve"> : </w:t>
            </w:r>
            <w:r>
              <w:rPr>
                <w:rStyle w:val="Marquedecommentaire"/>
                <w:rFonts w:ascii="Times New Roman" w:hAnsi="Times New Roman" w:cs="Times New Roman"/>
                <w:b/>
                <w:iCs/>
                <w:snapToGrid w:val="0"/>
                <w:kern w:val="2"/>
                <w:sz w:val="24"/>
                <w:szCs w:val="24"/>
                <w:lang w:val="fr-FR"/>
              </w:rPr>
              <w:t>72</w:t>
            </w:r>
            <w:r>
              <w:rPr>
                <w:rFonts w:ascii="Times New Roman" w:hAnsi="Times New Roman" w:cs="Times New Roman"/>
                <w:b/>
                <w:iCs/>
                <w:snapToGrid w:val="0"/>
                <w:kern w:val="2"/>
                <w:sz w:val="24"/>
                <w:szCs w:val="24"/>
                <w:lang w:val="fr-FR"/>
              </w:rPr>
              <w:t>,23%</w:t>
            </w:r>
          </w:p>
          <w:p w14:paraId="1005DA0E" w14:textId="77777777" w:rsidR="001B58C7" w:rsidRDefault="000F0E0E">
            <w:pPr>
              <w:pStyle w:val="Textedebulles"/>
              <w:numPr>
                <w:ilvl w:val="12"/>
                <w:numId w:val="0"/>
              </w:numPr>
              <w:tabs>
                <w:tab w:val="left" w:pos="-720"/>
                <w:tab w:val="left" w:pos="4500"/>
              </w:tabs>
              <w:suppressAutoHyphens/>
              <w:spacing w:after="160" w:line="276" w:lineRule="auto"/>
              <w:rPr>
                <w:rFonts w:ascii="Times New Roman" w:hAnsi="Times New Roman" w:cs="Times New Roman"/>
                <w:bCs/>
                <w:iCs/>
                <w:snapToGrid w:val="0"/>
                <w:kern w:val="2"/>
                <w:sz w:val="23"/>
                <w:szCs w:val="23"/>
                <w:lang w:val="fr-FR"/>
              </w:rPr>
            </w:pPr>
            <w:r>
              <w:rPr>
                <w:rFonts w:ascii="Times New Roman" w:hAnsi="Times New Roman" w:cs="Times New Roman"/>
                <w:bCs/>
                <w:iCs/>
                <w:snapToGrid w:val="0"/>
                <w:kern w:val="2"/>
                <w:sz w:val="23"/>
                <w:szCs w:val="23"/>
                <w:lang w:val="fr-FR"/>
              </w:rPr>
              <w:t>*JOINDRE LE BUDGET EXCEL DU PROJET MONTRANT LES DÉPENSES APPROXIMATIVES ACTUELLES*</w:t>
            </w:r>
          </w:p>
          <w:p w14:paraId="4B8B0155" w14:textId="77777777" w:rsidR="001B58C7" w:rsidRDefault="000F0E0E">
            <w:pPr>
              <w:pStyle w:val="Textedebulles"/>
              <w:numPr>
                <w:ilvl w:val="12"/>
                <w:numId w:val="0"/>
              </w:numPr>
              <w:tabs>
                <w:tab w:val="left" w:pos="-720"/>
                <w:tab w:val="left" w:pos="4500"/>
              </w:tabs>
              <w:suppressAutoHyphens/>
              <w:spacing w:after="160" w:line="276" w:lineRule="auto"/>
              <w:rPr>
                <w:rStyle w:val="Lienhypertexte"/>
                <w:rFonts w:ascii="Times New Roman" w:hAnsi="Times New Roman" w:cs="Times New Roman"/>
                <w:i/>
                <w:iCs/>
                <w:color w:val="auto"/>
                <w:kern w:val="2"/>
                <w:sz w:val="24"/>
                <w:szCs w:val="24"/>
                <w:lang w:val="fr-FR"/>
              </w:rPr>
            </w:pPr>
            <w:r>
              <w:rPr>
                <w:rFonts w:ascii="Times New Roman" w:hAnsi="Times New Roman" w:cs="Times New Roman"/>
                <w:i/>
                <w:iCs/>
                <w:kern w:val="2"/>
                <w:sz w:val="24"/>
                <w:szCs w:val="24"/>
                <w:lang w:val="fr-FR"/>
              </w:rPr>
              <w:t xml:space="preserve">Les modèles de budget sont disponibles </w:t>
            </w:r>
            <w:r w:rsidR="001B58C7">
              <w:fldChar w:fldCharType="begin"/>
            </w:r>
            <w:r w:rsidR="001B58C7" w:rsidRPr="00ED3A8A">
              <w:rPr>
                <w:lang w:val="fr-FR"/>
              </w:rPr>
              <w:instrText>HYPERLINK "https://www.un.org/peacebuilding/content/application-guidelines"</w:instrText>
            </w:r>
            <w:r w:rsidR="001B58C7">
              <w:fldChar w:fldCharType="separate"/>
            </w:r>
            <w:r w:rsidR="001B58C7">
              <w:rPr>
                <w:rStyle w:val="Lienhypertexte"/>
                <w:rFonts w:ascii="Times New Roman" w:hAnsi="Times New Roman" w:cs="Times New Roman"/>
                <w:i/>
                <w:iCs/>
                <w:color w:val="auto"/>
                <w:kern w:val="2"/>
                <w:sz w:val="24"/>
                <w:szCs w:val="24"/>
                <w:lang w:val="fr-FR"/>
              </w:rPr>
              <w:t>ici</w:t>
            </w:r>
            <w:r w:rsidR="001B58C7">
              <w:fldChar w:fldCharType="end"/>
            </w:r>
          </w:p>
          <w:p w14:paraId="2EBF0733" w14:textId="77777777" w:rsidR="001B58C7" w:rsidRDefault="000F0E0E">
            <w:pPr>
              <w:spacing w:after="160" w:line="276" w:lineRule="auto"/>
              <w:rPr>
                <w:b/>
                <w:bCs/>
                <w:kern w:val="2"/>
                <w:lang w:val="fr-FR"/>
              </w:rPr>
            </w:pPr>
            <w:r>
              <w:rPr>
                <w:b/>
                <w:bCs/>
                <w:kern w:val="2"/>
                <w:lang w:val="fr-FR"/>
              </w:rPr>
              <w:t>Partenaires de mise en œuvre</w:t>
            </w:r>
          </w:p>
          <w:p w14:paraId="718409E3" w14:textId="77777777" w:rsidR="001B58C7" w:rsidRDefault="000F0E0E">
            <w:pPr>
              <w:spacing w:after="160" w:line="276" w:lineRule="auto"/>
              <w:rPr>
                <w:kern w:val="2"/>
                <w:lang w:val="fr-FR"/>
              </w:rPr>
            </w:pPr>
            <w:r>
              <w:rPr>
                <w:kern w:val="2"/>
                <w:lang w:val="fr-FR"/>
              </w:rPr>
              <w:t xml:space="preserve">À combien de partenaires de mise en œuvre le projet a-t-il transféré de l’argent </w:t>
            </w:r>
            <w:r>
              <w:rPr>
                <w:b/>
                <w:bCs/>
                <w:kern w:val="2"/>
                <w:u w:val="single"/>
                <w:lang w:val="fr-FR"/>
              </w:rPr>
              <w:t>depuis le début du projet</w:t>
            </w:r>
            <w:r>
              <w:rPr>
                <w:kern w:val="2"/>
                <w:lang w:val="fr-FR"/>
              </w:rPr>
              <w:t xml:space="preserve"> ? </w:t>
            </w:r>
            <w:r>
              <w:rPr>
                <w:b/>
                <w:bCs/>
                <w:kern w:val="2"/>
                <w:lang w:val="fr-FR"/>
              </w:rPr>
              <w:t>Le projet a transféré de l’argent à quatre (4) partenaires depuis le début de la mise en œuvre.</w:t>
            </w:r>
          </w:p>
          <w:p w14:paraId="717C4BEA" w14:textId="77777777" w:rsidR="001B58C7" w:rsidRDefault="000F0E0E">
            <w:pPr>
              <w:spacing w:after="160" w:line="276" w:lineRule="auto"/>
              <w:rPr>
                <w:kern w:val="2"/>
                <w:lang w:val="fr-FR"/>
              </w:rPr>
            </w:pPr>
            <w:r>
              <w:rPr>
                <w:kern w:val="2"/>
                <w:lang w:val="fr-FR"/>
              </w:rPr>
              <w:t>À combien de partenaires de mise en œuvre est-ce que le projet a transféré de l'argent durant</w:t>
            </w:r>
            <w:r>
              <w:rPr>
                <w:b/>
                <w:bCs/>
                <w:kern w:val="2"/>
                <w:u w:val="single"/>
                <w:lang w:val="fr-FR"/>
              </w:rPr>
              <w:t xml:space="preserve"> l’année civile en cours </w:t>
            </w:r>
            <w:r>
              <w:rPr>
                <w:b/>
                <w:bCs/>
                <w:i/>
                <w:iCs/>
                <w:kern w:val="2"/>
                <w:lang w:val="fr-FR"/>
              </w:rPr>
              <w:t xml:space="preserve">(pour les rapports de juin : janvier à juin </w:t>
            </w:r>
            <w:r>
              <w:rPr>
                <w:i/>
                <w:iCs/>
                <w:kern w:val="2"/>
                <w:lang w:val="fr-FR"/>
              </w:rPr>
              <w:t>; pour les rapports de novembre : janvier à décembre (prévu) ; pour les rapports finaux : durée totale du projet)</w:t>
            </w:r>
            <w:r>
              <w:rPr>
                <w:kern w:val="2"/>
                <w:lang w:val="fr-FR"/>
              </w:rPr>
              <w:t xml:space="preserve"> ? </w:t>
            </w:r>
          </w:p>
          <w:p w14:paraId="487932FD" w14:textId="77777777" w:rsidR="001B58C7" w:rsidRDefault="000F0E0E">
            <w:pPr>
              <w:spacing w:after="160" w:line="276" w:lineRule="auto"/>
              <w:rPr>
                <w:kern w:val="2"/>
                <w:lang w:val="fr-FR"/>
              </w:rPr>
            </w:pPr>
            <w:r>
              <w:rPr>
                <w:b/>
                <w:bCs/>
                <w:kern w:val="2"/>
                <w:lang w:val="fr-FR"/>
              </w:rPr>
              <w:t>Au cours de cette année civile le projet a transféré de l’argent à deux partenaires :  Fondation Kadima (partenaire de l’UNHCR) et la Commission Provinciale Vérité Justice et Réconciliation (CPVJR) au Kasai Central (partenaire du BCNUDH).</w:t>
            </w:r>
          </w:p>
          <w:p w14:paraId="6CA5EBCC" w14:textId="77777777" w:rsidR="001B58C7" w:rsidRDefault="000F0E0E">
            <w:pPr>
              <w:spacing w:after="160" w:line="276" w:lineRule="auto"/>
              <w:rPr>
                <w:kern w:val="2"/>
                <w:u w:val="single"/>
                <w:lang w:val="fr-FR"/>
              </w:rPr>
            </w:pPr>
            <w:r>
              <w:rPr>
                <w:kern w:val="2"/>
                <w:lang w:val="fr-FR"/>
              </w:rPr>
              <w:t>Merci d'énumérer chacun des partenaires de mise en œuvre et les montants transférés (en dollar USD) à chaque partenaire, tant depuis le début du projet, que plus particulièrement durant</w:t>
            </w:r>
            <w:r>
              <w:rPr>
                <w:b/>
                <w:bCs/>
                <w:i/>
                <w:iCs/>
                <w:kern w:val="2"/>
                <w:lang w:val="fr-FR"/>
              </w:rPr>
              <w:t xml:space="preserve"> </w:t>
            </w:r>
            <w:r>
              <w:rPr>
                <w:b/>
                <w:bCs/>
                <w:kern w:val="2"/>
                <w:u w:val="single"/>
                <w:lang w:val="fr-FR"/>
              </w:rPr>
              <w:t>de l’année civile en cours ?</w:t>
            </w:r>
          </w:p>
          <w:p w14:paraId="3453F3C9" w14:textId="77777777" w:rsidR="001B58C7" w:rsidRDefault="001B58C7">
            <w:pPr>
              <w:spacing w:after="160" w:line="276" w:lineRule="auto"/>
              <w:rPr>
                <w:kern w:val="2"/>
                <w:lang w:val="fr-FR"/>
              </w:rPr>
            </w:pPr>
          </w:p>
          <w:tbl>
            <w:tblPr>
              <w:tblStyle w:val="Grilledutableau"/>
              <w:tblW w:w="9839" w:type="dxa"/>
              <w:tblLayout w:type="fixed"/>
              <w:tblLook w:val="04A0" w:firstRow="1" w:lastRow="0" w:firstColumn="1" w:lastColumn="0" w:noHBand="0" w:noVBand="1"/>
            </w:tblPr>
            <w:tblGrid>
              <w:gridCol w:w="1493"/>
              <w:gridCol w:w="1364"/>
              <w:gridCol w:w="1530"/>
              <w:gridCol w:w="1626"/>
              <w:gridCol w:w="1400"/>
              <w:gridCol w:w="2426"/>
            </w:tblGrid>
            <w:tr w:rsidR="001B58C7" w:rsidRPr="00ED3A8A" w14:paraId="34C26BBB" w14:textId="77777777">
              <w:trPr>
                <w:trHeight w:val="3464"/>
              </w:trPr>
              <w:tc>
                <w:tcPr>
                  <w:tcW w:w="1493" w:type="dxa"/>
                  <w:vAlign w:val="center"/>
                </w:tcPr>
                <w:p w14:paraId="13BC3778" w14:textId="77777777" w:rsidR="001B58C7" w:rsidRDefault="000F0E0E">
                  <w:pPr>
                    <w:pStyle w:val="Textedebulles"/>
                    <w:numPr>
                      <w:ilvl w:val="12"/>
                      <w:numId w:val="0"/>
                    </w:numPr>
                    <w:tabs>
                      <w:tab w:val="left" w:pos="-720"/>
                      <w:tab w:val="left" w:pos="4500"/>
                    </w:tabs>
                    <w:suppressAutoHyphens/>
                    <w:spacing w:after="160" w:line="276" w:lineRule="auto"/>
                    <w:rPr>
                      <w:rFonts w:ascii="Times New Roman" w:hAnsi="Times New Roman" w:cs="Times New Roman"/>
                      <w:b/>
                      <w:bCs/>
                      <w:i/>
                      <w:iCs/>
                      <w:kern w:val="2"/>
                      <w:sz w:val="22"/>
                      <w:szCs w:val="22"/>
                      <w:lang w:val="fr-FR"/>
                    </w:rPr>
                  </w:pPr>
                  <w:r>
                    <w:rPr>
                      <w:rFonts w:ascii="Times New Roman" w:hAnsi="Times New Roman" w:cs="Times New Roman"/>
                      <w:b/>
                      <w:bCs/>
                      <w:i/>
                      <w:iCs/>
                      <w:kern w:val="2"/>
                      <w:sz w:val="22"/>
                      <w:szCs w:val="22"/>
                      <w:lang w:val="fr-FR"/>
                    </w:rPr>
                    <w:lastRenderedPageBreak/>
                    <w:t>Nom du partenaire de mis en œuvre</w:t>
                  </w:r>
                </w:p>
              </w:tc>
              <w:tc>
                <w:tcPr>
                  <w:tcW w:w="1364" w:type="dxa"/>
                  <w:vAlign w:val="center"/>
                </w:tcPr>
                <w:p w14:paraId="36A8BB14" w14:textId="77777777" w:rsidR="001B58C7" w:rsidRDefault="000F0E0E">
                  <w:pPr>
                    <w:pStyle w:val="Textedebulles"/>
                    <w:tabs>
                      <w:tab w:val="left" w:pos="4500"/>
                    </w:tabs>
                    <w:suppressAutoHyphens/>
                    <w:spacing w:after="160" w:line="276" w:lineRule="auto"/>
                    <w:rPr>
                      <w:rFonts w:asciiTheme="majorBidi" w:hAnsiTheme="majorBidi" w:cstheme="majorBidi"/>
                      <w:b/>
                      <w:bCs/>
                      <w:i/>
                      <w:iCs/>
                      <w:kern w:val="2"/>
                      <w:sz w:val="22"/>
                      <w:szCs w:val="22"/>
                      <w:lang w:val="fr-FR"/>
                    </w:rPr>
                  </w:pPr>
                  <w:r>
                    <w:rPr>
                      <w:rFonts w:asciiTheme="majorBidi" w:hAnsiTheme="majorBidi" w:cstheme="majorBidi"/>
                      <w:b/>
                      <w:bCs/>
                      <w:i/>
                      <w:iCs/>
                      <w:kern w:val="2"/>
                      <w:sz w:val="22"/>
                      <w:szCs w:val="22"/>
                      <w:lang w:val="fr-FR"/>
                    </w:rPr>
                    <w:t>Type d</w:t>
                  </w:r>
                  <w:r>
                    <w:rPr>
                      <w:rFonts w:asciiTheme="majorBidi" w:hAnsiTheme="majorBidi" w:cstheme="majorBidi"/>
                      <w:b/>
                      <w:bCs/>
                      <w:kern w:val="2"/>
                      <w:sz w:val="22"/>
                      <w:szCs w:val="22"/>
                      <w:lang w:val="fr-FR"/>
                    </w:rPr>
                    <w:t>’o</w:t>
                  </w:r>
                  <w:r>
                    <w:rPr>
                      <w:rFonts w:asciiTheme="majorBidi" w:hAnsiTheme="majorBidi" w:cstheme="majorBidi"/>
                      <w:b/>
                      <w:bCs/>
                      <w:i/>
                      <w:iCs/>
                      <w:kern w:val="2"/>
                      <w:sz w:val="22"/>
                      <w:szCs w:val="22"/>
                      <w:lang w:val="fr-FR"/>
                    </w:rPr>
                    <w:t>rganisation (ex. Gouvernement, s</w:t>
                  </w:r>
                  <w:r>
                    <w:rPr>
                      <w:rFonts w:asciiTheme="majorBidi" w:hAnsiTheme="majorBidi" w:cstheme="majorBidi"/>
                      <w:b/>
                      <w:bCs/>
                      <w:kern w:val="2"/>
                      <w:sz w:val="22"/>
                      <w:szCs w:val="22"/>
                      <w:lang w:val="fr-FR"/>
                    </w:rPr>
                    <w:t>ociété civile</w:t>
                  </w:r>
                  <w:r>
                    <w:rPr>
                      <w:rFonts w:asciiTheme="majorBidi" w:hAnsiTheme="majorBidi" w:cstheme="majorBidi"/>
                      <w:b/>
                      <w:bCs/>
                      <w:i/>
                      <w:iCs/>
                      <w:kern w:val="2"/>
                      <w:sz w:val="22"/>
                      <w:szCs w:val="22"/>
                      <w:lang w:val="fr-FR"/>
                    </w:rPr>
                    <w:t>, etc.)</w:t>
                  </w:r>
                </w:p>
              </w:tc>
              <w:tc>
                <w:tcPr>
                  <w:tcW w:w="1530" w:type="dxa"/>
                  <w:vAlign w:val="center"/>
                </w:tcPr>
                <w:p w14:paraId="021DC8DC" w14:textId="77777777" w:rsidR="001B58C7" w:rsidRDefault="000F0E0E">
                  <w:pPr>
                    <w:pStyle w:val="Textedebulles"/>
                    <w:spacing w:after="160" w:line="259" w:lineRule="auto"/>
                    <w:rPr>
                      <w:kern w:val="2"/>
                      <w:lang w:val="fr-FR"/>
                    </w:rPr>
                  </w:pPr>
                  <w:r>
                    <w:rPr>
                      <w:rFonts w:ascii="Times New Roman" w:hAnsi="Times New Roman" w:cs="Times New Roman"/>
                      <w:b/>
                      <w:bCs/>
                      <w:i/>
                      <w:iCs/>
                      <w:kern w:val="2"/>
                      <w:sz w:val="22"/>
                      <w:szCs w:val="22"/>
                      <w:lang w:val="fr-FR"/>
                    </w:rPr>
                    <w:t>Quel montant total est prévu (en USD) d’être versé à ce partenaire de mise en œuvre, pour la durée totale du projet ?</w:t>
                  </w:r>
                </w:p>
              </w:tc>
              <w:tc>
                <w:tcPr>
                  <w:tcW w:w="1626" w:type="dxa"/>
                  <w:vAlign w:val="center"/>
                </w:tcPr>
                <w:p w14:paraId="4BAF4430" w14:textId="77777777" w:rsidR="001B58C7" w:rsidRDefault="000F0E0E">
                  <w:pPr>
                    <w:pStyle w:val="Textedebulles"/>
                    <w:tabs>
                      <w:tab w:val="left" w:pos="4500"/>
                    </w:tabs>
                    <w:suppressAutoHyphens/>
                    <w:spacing w:after="160" w:line="276" w:lineRule="auto"/>
                    <w:rPr>
                      <w:rFonts w:ascii="Times New Roman" w:hAnsi="Times New Roman" w:cs="Times New Roman"/>
                      <w:b/>
                      <w:bCs/>
                      <w:i/>
                      <w:iCs/>
                      <w:kern w:val="2"/>
                      <w:sz w:val="22"/>
                      <w:szCs w:val="22"/>
                      <w:lang w:val="fr-FR"/>
                    </w:rPr>
                  </w:pPr>
                  <w:r>
                    <w:rPr>
                      <w:rFonts w:ascii="Times New Roman" w:hAnsi="Times New Roman" w:cs="Times New Roman"/>
                      <w:b/>
                      <w:bCs/>
                      <w:i/>
                      <w:iCs/>
                      <w:kern w:val="2"/>
                      <w:sz w:val="22"/>
                      <w:szCs w:val="22"/>
                      <w:lang w:val="fr-FR"/>
                    </w:rPr>
                    <w:t xml:space="preserve">Quel est le montant total (en USD) versé au partenaire chargé de la mise en œuvre </w:t>
                  </w:r>
                  <w:r>
                    <w:rPr>
                      <w:rFonts w:ascii="Times New Roman" w:hAnsi="Times New Roman" w:cs="Times New Roman"/>
                      <w:b/>
                      <w:bCs/>
                      <w:i/>
                      <w:iCs/>
                      <w:kern w:val="2"/>
                      <w:sz w:val="22"/>
                      <w:szCs w:val="22"/>
                      <w:u w:val="single"/>
                      <w:lang w:val="fr-FR"/>
                    </w:rPr>
                    <w:t xml:space="preserve">depuis le début du projet </w:t>
                  </w:r>
                  <w:r>
                    <w:rPr>
                      <w:rFonts w:ascii="Times New Roman" w:hAnsi="Times New Roman" w:cs="Times New Roman"/>
                      <w:b/>
                      <w:bCs/>
                      <w:i/>
                      <w:iCs/>
                      <w:kern w:val="2"/>
                      <w:sz w:val="22"/>
                      <w:szCs w:val="22"/>
                      <w:lang w:val="fr-FR"/>
                    </w:rPr>
                    <w:t>?</w:t>
                  </w:r>
                </w:p>
              </w:tc>
              <w:tc>
                <w:tcPr>
                  <w:tcW w:w="1400" w:type="dxa"/>
                  <w:vAlign w:val="center"/>
                </w:tcPr>
                <w:p w14:paraId="1DD7BBFC" w14:textId="77777777" w:rsidR="001B58C7" w:rsidRDefault="000F0E0E">
                  <w:pPr>
                    <w:spacing w:after="160" w:line="276" w:lineRule="auto"/>
                    <w:rPr>
                      <w:b/>
                      <w:bCs/>
                      <w:i/>
                      <w:iCs/>
                      <w:kern w:val="2"/>
                      <w:sz w:val="22"/>
                      <w:szCs w:val="22"/>
                      <w:lang w:val="fr-FR"/>
                    </w:rPr>
                  </w:pPr>
                  <w:r>
                    <w:rPr>
                      <w:b/>
                      <w:bCs/>
                      <w:i/>
                      <w:iCs/>
                      <w:kern w:val="2"/>
                      <w:sz w:val="22"/>
                      <w:szCs w:val="22"/>
                      <w:lang w:val="fr-FR"/>
                    </w:rPr>
                    <w:t xml:space="preserve">Quel est le montant total (en USD) versé au partenaire chargé de la mise en </w:t>
                  </w:r>
                  <w:r>
                    <w:rPr>
                      <w:b/>
                      <w:bCs/>
                      <w:i/>
                      <w:iCs/>
                      <w:kern w:val="2"/>
                      <w:sz w:val="22"/>
                      <w:szCs w:val="22"/>
                      <w:u w:val="single"/>
                      <w:lang w:val="fr-FR"/>
                    </w:rPr>
                    <w:t>œuvre durant l’année civile en cours</w:t>
                  </w:r>
                  <w:r>
                    <w:rPr>
                      <w:b/>
                      <w:bCs/>
                      <w:i/>
                      <w:iCs/>
                      <w:kern w:val="2"/>
                      <w:sz w:val="22"/>
                      <w:szCs w:val="22"/>
                      <w:lang w:val="fr-FR"/>
                    </w:rPr>
                    <w:t xml:space="preserve"> ?</w:t>
                  </w:r>
                </w:p>
              </w:tc>
              <w:tc>
                <w:tcPr>
                  <w:tcW w:w="2426" w:type="dxa"/>
                  <w:vAlign w:val="center"/>
                </w:tcPr>
                <w:p w14:paraId="78537528" w14:textId="77777777" w:rsidR="001B58C7" w:rsidRDefault="000F0E0E">
                  <w:pPr>
                    <w:pStyle w:val="Textedebulles"/>
                    <w:tabs>
                      <w:tab w:val="left" w:pos="4500"/>
                    </w:tabs>
                    <w:suppressAutoHyphens/>
                    <w:spacing w:after="160" w:line="276" w:lineRule="auto"/>
                    <w:rPr>
                      <w:rFonts w:ascii="Times New Roman" w:hAnsi="Times New Roman" w:cs="Times New Roman"/>
                      <w:b/>
                      <w:bCs/>
                      <w:i/>
                      <w:iCs/>
                      <w:kern w:val="2"/>
                      <w:sz w:val="22"/>
                      <w:szCs w:val="22"/>
                      <w:lang w:val="fr-FR"/>
                    </w:rPr>
                  </w:pPr>
                  <w:r>
                    <w:rPr>
                      <w:rFonts w:ascii="Times New Roman" w:hAnsi="Times New Roman" w:cs="Times New Roman"/>
                      <w:b/>
                      <w:bCs/>
                      <w:i/>
                      <w:iCs/>
                      <w:kern w:val="2"/>
                      <w:sz w:val="22"/>
                      <w:szCs w:val="22"/>
                      <w:lang w:val="fr-FR"/>
                    </w:rPr>
                    <w:t>Décrivez brièvement les activités principales menés par le partenaire durant l’année civile en cours (1500 caractères)</w:t>
                  </w:r>
                </w:p>
              </w:tc>
            </w:tr>
            <w:tr w:rsidR="001B58C7" w:rsidRPr="00ED3A8A" w14:paraId="63F65FBA" w14:textId="77777777">
              <w:trPr>
                <w:trHeight w:val="300"/>
              </w:trPr>
              <w:tc>
                <w:tcPr>
                  <w:tcW w:w="1493" w:type="dxa"/>
                  <w:vAlign w:val="center"/>
                </w:tcPr>
                <w:p w14:paraId="21ABA380" w14:textId="77777777" w:rsidR="001B58C7" w:rsidRDefault="000F0E0E">
                  <w:pPr>
                    <w:pStyle w:val="Textedebulles"/>
                    <w:numPr>
                      <w:ilvl w:val="12"/>
                      <w:numId w:val="0"/>
                    </w:numPr>
                    <w:tabs>
                      <w:tab w:val="left" w:pos="-720"/>
                      <w:tab w:val="left" w:pos="4500"/>
                    </w:tabs>
                    <w:suppressAutoHyphens/>
                    <w:spacing w:after="160" w:line="276" w:lineRule="auto"/>
                    <w:ind w:left="120" w:hangingChars="50" w:hanging="120"/>
                    <w:rPr>
                      <w:rFonts w:ascii="Times New Roman" w:hAnsi="Times New Roman" w:cs="Times New Roman"/>
                      <w:kern w:val="2"/>
                      <w:sz w:val="24"/>
                      <w:szCs w:val="24"/>
                      <w:lang w:val="fr-FR"/>
                    </w:rPr>
                  </w:pPr>
                  <w:proofErr w:type="spellStart"/>
                  <w:r>
                    <w:rPr>
                      <w:rFonts w:ascii="Times New Roman" w:hAnsi="Times New Roman" w:cs="Times New Roman"/>
                      <w:kern w:val="2"/>
                      <w:sz w:val="24"/>
                      <w:szCs w:val="24"/>
                      <w:lang w:val="fr-FR"/>
                    </w:rPr>
                    <w:t>CommissionProvinciale</w:t>
                  </w:r>
                  <w:proofErr w:type="spellEnd"/>
                  <w:r>
                    <w:rPr>
                      <w:rFonts w:ascii="Times New Roman" w:hAnsi="Times New Roman" w:cs="Times New Roman"/>
                      <w:kern w:val="2"/>
                      <w:sz w:val="24"/>
                      <w:szCs w:val="24"/>
                      <w:lang w:val="fr-FR"/>
                    </w:rPr>
                    <w:t xml:space="preserve"> Vérité Justice et Réconciliation au Kasai Central (CPVJR) Kasai Central (partenaire BCNUDH)</w:t>
                  </w:r>
                </w:p>
              </w:tc>
              <w:tc>
                <w:tcPr>
                  <w:tcW w:w="1364" w:type="dxa"/>
                  <w:vAlign w:val="center"/>
                </w:tcPr>
                <w:p w14:paraId="50AC32AD" w14:textId="77777777" w:rsidR="001B58C7" w:rsidRDefault="000F0E0E">
                  <w:pPr>
                    <w:pStyle w:val="Textedebulles"/>
                    <w:numPr>
                      <w:ilvl w:val="12"/>
                      <w:numId w:val="0"/>
                    </w:numPr>
                    <w:tabs>
                      <w:tab w:val="left" w:pos="-720"/>
                      <w:tab w:val="left" w:pos="4500"/>
                    </w:tabs>
                    <w:suppressAutoHyphens/>
                    <w:spacing w:after="160" w:line="276" w:lineRule="auto"/>
                    <w:rPr>
                      <w:rFonts w:ascii="Times New Roman" w:hAnsi="Times New Roman" w:cs="Times New Roman"/>
                      <w:kern w:val="2"/>
                      <w:sz w:val="24"/>
                      <w:szCs w:val="24"/>
                      <w:lang w:val="fr-FR"/>
                    </w:rPr>
                  </w:pPr>
                  <w:r>
                    <w:rPr>
                      <w:rFonts w:ascii="Times New Roman" w:hAnsi="Times New Roman" w:cs="Times New Roman"/>
                      <w:kern w:val="2"/>
                      <w:sz w:val="24"/>
                      <w:szCs w:val="24"/>
                      <w:lang w:val="fr-FR"/>
                    </w:rPr>
                    <w:t>Structure étatique provinciale</w:t>
                  </w:r>
                </w:p>
              </w:tc>
              <w:tc>
                <w:tcPr>
                  <w:tcW w:w="1530" w:type="dxa"/>
                  <w:vAlign w:val="center"/>
                </w:tcPr>
                <w:p w14:paraId="7920F421" w14:textId="77777777" w:rsidR="001B58C7" w:rsidRDefault="000F0E0E">
                  <w:pPr>
                    <w:pStyle w:val="Textedebulles"/>
                    <w:spacing w:after="160" w:line="276" w:lineRule="auto"/>
                    <w:rPr>
                      <w:rFonts w:ascii="Times New Roman" w:hAnsi="Times New Roman" w:cs="Times New Roman"/>
                      <w:kern w:val="2"/>
                      <w:sz w:val="24"/>
                      <w:szCs w:val="24"/>
                      <w:lang w:val="fr-FR"/>
                    </w:rPr>
                  </w:pPr>
                  <w:r>
                    <w:rPr>
                      <w:rFonts w:ascii="Times New Roman" w:hAnsi="Times New Roman" w:cs="Times New Roman"/>
                      <w:kern w:val="2"/>
                      <w:sz w:val="24"/>
                      <w:szCs w:val="24"/>
                      <w:lang w:val="fr-FR"/>
                    </w:rPr>
                    <w:t>$ 56,540</w:t>
                  </w:r>
                </w:p>
              </w:tc>
              <w:tc>
                <w:tcPr>
                  <w:tcW w:w="1626" w:type="dxa"/>
                  <w:vAlign w:val="center"/>
                </w:tcPr>
                <w:p w14:paraId="00429BAA" w14:textId="77777777" w:rsidR="001B58C7" w:rsidRDefault="000F0E0E">
                  <w:pPr>
                    <w:pStyle w:val="Textedebulles"/>
                    <w:numPr>
                      <w:ilvl w:val="12"/>
                      <w:numId w:val="0"/>
                    </w:numPr>
                    <w:tabs>
                      <w:tab w:val="left" w:pos="-720"/>
                      <w:tab w:val="left" w:pos="4500"/>
                    </w:tabs>
                    <w:suppressAutoHyphens/>
                    <w:spacing w:after="160" w:line="276" w:lineRule="auto"/>
                    <w:rPr>
                      <w:rFonts w:ascii="Times New Roman" w:hAnsi="Times New Roman" w:cs="Times New Roman"/>
                      <w:kern w:val="2"/>
                      <w:sz w:val="24"/>
                      <w:szCs w:val="24"/>
                      <w:lang w:val="fr-FR"/>
                    </w:rPr>
                  </w:pPr>
                  <w:r>
                    <w:rPr>
                      <w:rFonts w:ascii="Times New Roman" w:hAnsi="Times New Roman" w:cs="Times New Roman"/>
                      <w:kern w:val="2"/>
                      <w:sz w:val="24"/>
                      <w:szCs w:val="24"/>
                      <w:lang w:val="fr-FR"/>
                    </w:rPr>
                    <w:t>$ 56,540</w:t>
                  </w:r>
                </w:p>
              </w:tc>
              <w:tc>
                <w:tcPr>
                  <w:tcW w:w="1400" w:type="dxa"/>
                  <w:vAlign w:val="center"/>
                </w:tcPr>
                <w:p w14:paraId="165A7E09" w14:textId="77777777" w:rsidR="001B58C7" w:rsidRDefault="000F0E0E">
                  <w:pPr>
                    <w:pStyle w:val="Textedebulles"/>
                    <w:spacing w:after="160" w:line="276" w:lineRule="auto"/>
                    <w:rPr>
                      <w:rFonts w:ascii="Times New Roman" w:hAnsi="Times New Roman" w:cs="Times New Roman"/>
                      <w:kern w:val="2"/>
                      <w:sz w:val="24"/>
                      <w:szCs w:val="24"/>
                      <w:lang w:val="fr-FR"/>
                    </w:rPr>
                  </w:pPr>
                  <w:r>
                    <w:rPr>
                      <w:rFonts w:ascii="Times New Roman" w:hAnsi="Times New Roman" w:cs="Times New Roman"/>
                      <w:kern w:val="2"/>
                      <w:sz w:val="24"/>
                      <w:szCs w:val="24"/>
                      <w:lang w:val="fr-FR"/>
                    </w:rPr>
                    <w:t>$ 56,540</w:t>
                  </w:r>
                </w:p>
              </w:tc>
              <w:tc>
                <w:tcPr>
                  <w:tcW w:w="2426" w:type="dxa"/>
                  <w:vAlign w:val="center"/>
                </w:tcPr>
                <w:p w14:paraId="28A1D85E" w14:textId="77777777" w:rsidR="001B58C7" w:rsidRDefault="000F0E0E">
                  <w:pPr>
                    <w:pStyle w:val="Textedebulles"/>
                    <w:numPr>
                      <w:ilvl w:val="12"/>
                      <w:numId w:val="0"/>
                    </w:numPr>
                    <w:tabs>
                      <w:tab w:val="left" w:pos="-720"/>
                      <w:tab w:val="left" w:pos="4500"/>
                    </w:tabs>
                    <w:suppressAutoHyphens/>
                    <w:spacing w:after="160" w:line="276" w:lineRule="auto"/>
                    <w:rPr>
                      <w:rFonts w:ascii="Times New Roman" w:hAnsi="Times New Roman" w:cs="Times New Roman"/>
                      <w:kern w:val="2"/>
                      <w:sz w:val="24"/>
                      <w:szCs w:val="24"/>
                      <w:lang w:val="fr-FR"/>
                    </w:rPr>
                  </w:pPr>
                  <w:r>
                    <w:rPr>
                      <w:rFonts w:ascii="Times New Roman" w:hAnsi="Times New Roman" w:cs="Times New Roman"/>
                      <w:kern w:val="2"/>
                      <w:sz w:val="24"/>
                      <w:szCs w:val="24"/>
                      <w:lang w:val="fr-FR"/>
                    </w:rPr>
                    <w:t>Appui au fonctionnement de la CPVJR, aux enquêtes et renforcement de capacité</w:t>
                  </w:r>
                </w:p>
              </w:tc>
            </w:tr>
            <w:tr w:rsidR="001B58C7" w:rsidRPr="00ED3A8A" w14:paraId="628F9335" w14:textId="77777777">
              <w:trPr>
                <w:trHeight w:val="300"/>
              </w:trPr>
              <w:tc>
                <w:tcPr>
                  <w:tcW w:w="1493" w:type="dxa"/>
                  <w:vAlign w:val="center"/>
                </w:tcPr>
                <w:p w14:paraId="7DC33CDB" w14:textId="77777777" w:rsidR="001B58C7" w:rsidRDefault="000F0E0E">
                  <w:pPr>
                    <w:pStyle w:val="Textedebulles"/>
                    <w:numPr>
                      <w:ilvl w:val="12"/>
                      <w:numId w:val="0"/>
                    </w:numPr>
                    <w:tabs>
                      <w:tab w:val="left" w:pos="-720"/>
                      <w:tab w:val="left" w:pos="4500"/>
                    </w:tabs>
                    <w:suppressAutoHyphens/>
                    <w:spacing w:after="160" w:line="276" w:lineRule="auto"/>
                    <w:rPr>
                      <w:rFonts w:ascii="Times New Roman" w:hAnsi="Times New Roman" w:cs="Times New Roman"/>
                      <w:kern w:val="2"/>
                      <w:sz w:val="24"/>
                      <w:szCs w:val="24"/>
                      <w:lang w:val="fr-FR"/>
                    </w:rPr>
                  </w:pPr>
                  <w:r>
                    <w:rPr>
                      <w:rFonts w:ascii="Times New Roman" w:hAnsi="Times New Roman" w:cs="Times New Roman"/>
                      <w:kern w:val="2"/>
                      <w:sz w:val="24"/>
                      <w:szCs w:val="24"/>
                      <w:lang w:val="fr"/>
                    </w:rPr>
                    <w:t>FMMDI (</w:t>
                  </w:r>
                  <w:proofErr w:type="gramStart"/>
                  <w:r>
                    <w:rPr>
                      <w:rFonts w:ascii="Times New Roman" w:hAnsi="Times New Roman" w:cs="Times New Roman"/>
                      <w:kern w:val="2"/>
                      <w:sz w:val="24"/>
                      <w:szCs w:val="24"/>
                      <w:lang w:val="fr"/>
                    </w:rPr>
                    <w:t xml:space="preserve">partenaire  </w:t>
                  </w:r>
                  <w:r>
                    <w:rPr>
                      <w:rFonts w:ascii="Times New Roman" w:hAnsi="Times New Roman" w:cs="Times New Roman"/>
                      <w:kern w:val="2"/>
                      <w:sz w:val="24"/>
                      <w:szCs w:val="24"/>
                      <w:lang w:val="it-IT"/>
                    </w:rPr>
                    <w:t>UNHCR</w:t>
                  </w:r>
                  <w:proofErr w:type="gramEnd"/>
                  <w:r>
                    <w:rPr>
                      <w:rFonts w:ascii="Times New Roman" w:hAnsi="Times New Roman" w:cs="Times New Roman"/>
                      <w:kern w:val="2"/>
                      <w:sz w:val="24"/>
                      <w:szCs w:val="24"/>
                      <w:lang w:val="it-IT"/>
                    </w:rPr>
                    <w:t>)</w:t>
                  </w:r>
                </w:p>
              </w:tc>
              <w:tc>
                <w:tcPr>
                  <w:tcW w:w="1364" w:type="dxa"/>
                  <w:vAlign w:val="center"/>
                </w:tcPr>
                <w:p w14:paraId="4602990A" w14:textId="77777777" w:rsidR="001B58C7" w:rsidRDefault="000F0E0E">
                  <w:pPr>
                    <w:pStyle w:val="Textedebulles"/>
                    <w:numPr>
                      <w:ilvl w:val="12"/>
                      <w:numId w:val="0"/>
                    </w:numPr>
                    <w:tabs>
                      <w:tab w:val="left" w:pos="-720"/>
                      <w:tab w:val="left" w:pos="4500"/>
                    </w:tabs>
                    <w:suppressAutoHyphens/>
                    <w:spacing w:after="160" w:line="276" w:lineRule="auto"/>
                    <w:rPr>
                      <w:rFonts w:ascii="Times New Roman" w:hAnsi="Times New Roman" w:cs="Times New Roman"/>
                      <w:kern w:val="2"/>
                      <w:sz w:val="24"/>
                      <w:szCs w:val="24"/>
                      <w:lang w:val="fr-FR"/>
                    </w:rPr>
                  </w:pPr>
                  <w:r>
                    <w:rPr>
                      <w:rFonts w:ascii="Times New Roman" w:hAnsi="Times New Roman" w:cs="Times New Roman"/>
                      <w:kern w:val="2"/>
                      <w:sz w:val="24"/>
                      <w:szCs w:val="24"/>
                      <w:lang w:val="fr"/>
                    </w:rPr>
                    <w:t>ONG Nationale</w:t>
                  </w:r>
                </w:p>
              </w:tc>
              <w:tc>
                <w:tcPr>
                  <w:tcW w:w="1530" w:type="dxa"/>
                  <w:vAlign w:val="center"/>
                </w:tcPr>
                <w:p w14:paraId="6CB5FBA8" w14:textId="77777777" w:rsidR="001B58C7" w:rsidRDefault="000F0E0E">
                  <w:pPr>
                    <w:pStyle w:val="Textedebulles"/>
                    <w:spacing w:after="160" w:line="276" w:lineRule="auto"/>
                    <w:rPr>
                      <w:rFonts w:ascii="Times New Roman" w:hAnsi="Times New Roman" w:cs="Times New Roman"/>
                      <w:kern w:val="2"/>
                      <w:sz w:val="24"/>
                      <w:szCs w:val="24"/>
                      <w:lang w:val="fr-FR"/>
                    </w:rPr>
                  </w:pPr>
                  <w:r>
                    <w:rPr>
                      <w:rFonts w:ascii="Times New Roman" w:hAnsi="Times New Roman" w:cs="Times New Roman"/>
                      <w:kern w:val="2"/>
                      <w:sz w:val="24"/>
                      <w:szCs w:val="24"/>
                      <w:lang w:val="fr"/>
                    </w:rPr>
                    <w:t>$ 34</w:t>
                  </w:r>
                  <w:r>
                    <w:rPr>
                      <w:rFonts w:ascii="Times New Roman" w:hAnsi="Times New Roman" w:cs="Times New Roman"/>
                      <w:kern w:val="2"/>
                      <w:sz w:val="24"/>
                      <w:szCs w:val="24"/>
                      <w:lang w:val="fr-FR"/>
                    </w:rPr>
                    <w:t>,</w:t>
                  </w:r>
                  <w:r>
                    <w:rPr>
                      <w:rFonts w:ascii="Times New Roman" w:hAnsi="Times New Roman" w:cs="Times New Roman"/>
                      <w:kern w:val="2"/>
                      <w:sz w:val="24"/>
                      <w:szCs w:val="24"/>
                      <w:lang w:val="fr"/>
                    </w:rPr>
                    <w:t xml:space="preserve"> 677.30</w:t>
                  </w:r>
                </w:p>
              </w:tc>
              <w:tc>
                <w:tcPr>
                  <w:tcW w:w="1626" w:type="dxa"/>
                  <w:vAlign w:val="center"/>
                </w:tcPr>
                <w:p w14:paraId="1C8452DF" w14:textId="77777777" w:rsidR="001B58C7" w:rsidRDefault="000F0E0E">
                  <w:pPr>
                    <w:pStyle w:val="Textedebulles"/>
                    <w:numPr>
                      <w:ilvl w:val="12"/>
                      <w:numId w:val="0"/>
                    </w:numPr>
                    <w:tabs>
                      <w:tab w:val="left" w:pos="-720"/>
                      <w:tab w:val="left" w:pos="4500"/>
                    </w:tabs>
                    <w:suppressAutoHyphens/>
                    <w:spacing w:after="160" w:line="276" w:lineRule="auto"/>
                    <w:rPr>
                      <w:rFonts w:ascii="Times New Roman" w:hAnsi="Times New Roman" w:cs="Times New Roman"/>
                      <w:kern w:val="2"/>
                      <w:sz w:val="24"/>
                      <w:szCs w:val="24"/>
                      <w:lang w:val="fr-FR"/>
                    </w:rPr>
                  </w:pPr>
                  <w:r>
                    <w:rPr>
                      <w:rFonts w:ascii="Times New Roman" w:hAnsi="Times New Roman" w:cs="Times New Roman"/>
                      <w:kern w:val="2"/>
                      <w:sz w:val="24"/>
                      <w:szCs w:val="24"/>
                      <w:lang w:val="fr"/>
                    </w:rPr>
                    <w:t>$ 24</w:t>
                  </w:r>
                  <w:r>
                    <w:rPr>
                      <w:rFonts w:ascii="Times New Roman" w:hAnsi="Times New Roman" w:cs="Times New Roman"/>
                      <w:kern w:val="2"/>
                      <w:sz w:val="24"/>
                      <w:szCs w:val="24"/>
                      <w:lang w:val="fr-FR"/>
                    </w:rPr>
                    <w:t xml:space="preserve">, </w:t>
                  </w:r>
                  <w:r>
                    <w:rPr>
                      <w:rFonts w:ascii="Times New Roman" w:hAnsi="Times New Roman" w:cs="Times New Roman"/>
                      <w:kern w:val="2"/>
                      <w:sz w:val="24"/>
                      <w:szCs w:val="24"/>
                      <w:lang w:val="fr"/>
                    </w:rPr>
                    <w:t>274.11</w:t>
                  </w:r>
                </w:p>
              </w:tc>
              <w:tc>
                <w:tcPr>
                  <w:tcW w:w="1400" w:type="dxa"/>
                  <w:vAlign w:val="center"/>
                </w:tcPr>
                <w:p w14:paraId="1B6BEBC9" w14:textId="77777777" w:rsidR="001B58C7" w:rsidRDefault="000F0E0E">
                  <w:pPr>
                    <w:pStyle w:val="Textedebulles"/>
                    <w:spacing w:after="160" w:line="276" w:lineRule="auto"/>
                    <w:rPr>
                      <w:rFonts w:ascii="Times New Roman" w:hAnsi="Times New Roman" w:cs="Times New Roman"/>
                      <w:kern w:val="2"/>
                      <w:sz w:val="24"/>
                      <w:szCs w:val="24"/>
                      <w:lang w:val="fr-FR"/>
                    </w:rPr>
                  </w:pPr>
                  <w:r>
                    <w:rPr>
                      <w:rFonts w:ascii="Times New Roman" w:hAnsi="Times New Roman" w:cs="Times New Roman"/>
                      <w:kern w:val="2"/>
                      <w:sz w:val="24"/>
                      <w:szCs w:val="24"/>
                      <w:lang w:val="fr"/>
                    </w:rPr>
                    <w:t>$ 24</w:t>
                  </w:r>
                  <w:r>
                    <w:rPr>
                      <w:rFonts w:ascii="Times New Roman" w:hAnsi="Times New Roman" w:cs="Times New Roman"/>
                      <w:kern w:val="2"/>
                      <w:sz w:val="24"/>
                      <w:szCs w:val="24"/>
                      <w:lang w:val="fr-FR"/>
                    </w:rPr>
                    <w:t>,</w:t>
                  </w:r>
                  <w:r>
                    <w:rPr>
                      <w:rFonts w:ascii="Times New Roman" w:hAnsi="Times New Roman" w:cs="Times New Roman"/>
                      <w:kern w:val="2"/>
                      <w:sz w:val="24"/>
                      <w:szCs w:val="24"/>
                      <w:lang w:val="fr"/>
                    </w:rPr>
                    <w:t>274.11</w:t>
                  </w:r>
                </w:p>
              </w:tc>
              <w:tc>
                <w:tcPr>
                  <w:tcW w:w="2426" w:type="dxa"/>
                  <w:vAlign w:val="center"/>
                </w:tcPr>
                <w:p w14:paraId="16414F65" w14:textId="77777777" w:rsidR="001B58C7" w:rsidRDefault="000F0E0E">
                  <w:pPr>
                    <w:pStyle w:val="Textedebulles"/>
                    <w:numPr>
                      <w:ilvl w:val="12"/>
                      <w:numId w:val="0"/>
                    </w:numPr>
                    <w:tabs>
                      <w:tab w:val="left" w:pos="-720"/>
                      <w:tab w:val="left" w:pos="4500"/>
                    </w:tabs>
                    <w:suppressAutoHyphens/>
                    <w:spacing w:after="160" w:line="276" w:lineRule="auto"/>
                    <w:rPr>
                      <w:rFonts w:ascii="Times New Roman" w:hAnsi="Times New Roman" w:cs="Times New Roman"/>
                      <w:kern w:val="2"/>
                      <w:sz w:val="24"/>
                      <w:szCs w:val="24"/>
                      <w:lang w:val="fr-FR"/>
                    </w:rPr>
                  </w:pPr>
                  <w:r>
                    <w:rPr>
                      <w:rFonts w:ascii="Times New Roman" w:hAnsi="Times New Roman" w:cs="Times New Roman"/>
                      <w:kern w:val="2"/>
                      <w:sz w:val="24"/>
                      <w:szCs w:val="24"/>
                      <w:lang w:val="fr-FR"/>
                    </w:rPr>
                    <w:t xml:space="preserve">Faciliter et appuyer la signature d’actes d’engagement avec l’implication des autorités locales, des chefs coutumiers et société civile tout comme assurer la traduction, et la vulgarisation des lois et édits usuels (code forestier/arrêtés ministériels, loi foncière, code de la famille, édit sur l’abolition des coutumes avilissantes à l’égard de la femme, </w:t>
                  </w:r>
                  <w:r>
                    <w:rPr>
                      <w:rFonts w:ascii="Times New Roman" w:hAnsi="Times New Roman" w:cs="Times New Roman"/>
                      <w:kern w:val="2"/>
                      <w:sz w:val="24"/>
                      <w:szCs w:val="24"/>
                      <w:lang w:val="fr-FR"/>
                    </w:rPr>
                    <w:lastRenderedPageBreak/>
                    <w:t>l’édit sur la scolarisation des survivants, etc.) par les jeunes vecteurs de paix et les jeunes juristes.</w:t>
                  </w:r>
                </w:p>
              </w:tc>
            </w:tr>
            <w:tr w:rsidR="001B58C7" w:rsidRPr="00ED3A8A" w14:paraId="7DBF36A0" w14:textId="77777777">
              <w:trPr>
                <w:trHeight w:val="300"/>
              </w:trPr>
              <w:tc>
                <w:tcPr>
                  <w:tcW w:w="1493" w:type="dxa"/>
                  <w:vAlign w:val="center"/>
                </w:tcPr>
                <w:p w14:paraId="390F36F7" w14:textId="77777777" w:rsidR="001B58C7" w:rsidRDefault="000F0E0E">
                  <w:pPr>
                    <w:pStyle w:val="Textedebulles"/>
                    <w:numPr>
                      <w:ilvl w:val="12"/>
                      <w:numId w:val="0"/>
                    </w:numPr>
                    <w:tabs>
                      <w:tab w:val="left" w:pos="-720"/>
                      <w:tab w:val="left" w:pos="4500"/>
                    </w:tabs>
                    <w:suppressAutoHyphens/>
                    <w:spacing w:after="160" w:line="276" w:lineRule="auto"/>
                    <w:rPr>
                      <w:rFonts w:ascii="Times New Roman" w:hAnsi="Times New Roman" w:cs="Times New Roman"/>
                      <w:kern w:val="2"/>
                      <w:sz w:val="24"/>
                      <w:szCs w:val="24"/>
                      <w:lang w:val="fr"/>
                    </w:rPr>
                  </w:pPr>
                  <w:r>
                    <w:rPr>
                      <w:rFonts w:ascii="Times New Roman" w:hAnsi="Times New Roman" w:cs="Times New Roman"/>
                      <w:kern w:val="2"/>
                      <w:sz w:val="24"/>
                      <w:szCs w:val="24"/>
                      <w:lang w:val="fr"/>
                    </w:rPr>
                    <w:lastRenderedPageBreak/>
                    <w:t>KADIMA FONDATION (partenaire HCR)</w:t>
                  </w:r>
                </w:p>
              </w:tc>
              <w:tc>
                <w:tcPr>
                  <w:tcW w:w="1364" w:type="dxa"/>
                  <w:vAlign w:val="center"/>
                </w:tcPr>
                <w:p w14:paraId="17BC6BFD" w14:textId="77777777" w:rsidR="001B58C7" w:rsidRDefault="000F0E0E">
                  <w:pPr>
                    <w:pStyle w:val="Textedebulles"/>
                    <w:numPr>
                      <w:ilvl w:val="12"/>
                      <w:numId w:val="0"/>
                    </w:numPr>
                    <w:tabs>
                      <w:tab w:val="left" w:pos="-720"/>
                      <w:tab w:val="left" w:pos="4500"/>
                    </w:tabs>
                    <w:suppressAutoHyphens/>
                    <w:spacing w:after="160" w:line="276" w:lineRule="auto"/>
                    <w:rPr>
                      <w:rFonts w:ascii="Times New Roman" w:hAnsi="Times New Roman" w:cs="Times New Roman"/>
                      <w:kern w:val="2"/>
                      <w:sz w:val="24"/>
                      <w:szCs w:val="24"/>
                      <w:lang w:val="fr"/>
                    </w:rPr>
                  </w:pPr>
                  <w:r>
                    <w:rPr>
                      <w:rFonts w:ascii="Times New Roman" w:hAnsi="Times New Roman" w:cs="Times New Roman"/>
                      <w:kern w:val="2"/>
                      <w:sz w:val="24"/>
                      <w:szCs w:val="24"/>
                      <w:lang w:val="fr"/>
                    </w:rPr>
                    <w:t>/ONG Nationale</w:t>
                  </w:r>
                </w:p>
              </w:tc>
              <w:tc>
                <w:tcPr>
                  <w:tcW w:w="1530" w:type="dxa"/>
                  <w:vAlign w:val="center"/>
                </w:tcPr>
                <w:p w14:paraId="32877C9D" w14:textId="77777777" w:rsidR="001B58C7" w:rsidRDefault="000F0E0E">
                  <w:pPr>
                    <w:pStyle w:val="Textedebulles"/>
                    <w:spacing w:after="160" w:line="276" w:lineRule="auto"/>
                    <w:rPr>
                      <w:rFonts w:ascii="Times New Roman" w:hAnsi="Times New Roman" w:cs="Times New Roman"/>
                      <w:kern w:val="2"/>
                      <w:sz w:val="24"/>
                      <w:szCs w:val="24"/>
                      <w:lang w:val="fr"/>
                    </w:rPr>
                  </w:pPr>
                  <w:r>
                    <w:rPr>
                      <w:rFonts w:ascii="Times New Roman" w:hAnsi="Times New Roman" w:cs="Times New Roman"/>
                      <w:kern w:val="2"/>
                      <w:sz w:val="24"/>
                      <w:szCs w:val="24"/>
                      <w:lang w:val="fr"/>
                    </w:rPr>
                    <w:t xml:space="preserve">$ </w:t>
                  </w:r>
                  <w:r>
                    <w:rPr>
                      <w:rFonts w:ascii="Times New Roman" w:hAnsi="Times New Roman" w:cs="Times New Roman"/>
                      <w:kern w:val="2"/>
                      <w:sz w:val="24"/>
                      <w:szCs w:val="24"/>
                      <w:lang w:val="fr-FR"/>
                    </w:rPr>
                    <w:t>4</w:t>
                  </w:r>
                  <w:r>
                    <w:rPr>
                      <w:rFonts w:ascii="Times New Roman" w:hAnsi="Times New Roman" w:cs="Times New Roman"/>
                      <w:kern w:val="2"/>
                      <w:sz w:val="24"/>
                      <w:szCs w:val="24"/>
                      <w:lang w:val="fr"/>
                    </w:rPr>
                    <w:t>16</w:t>
                  </w:r>
                  <w:r>
                    <w:rPr>
                      <w:rFonts w:ascii="Times New Roman" w:hAnsi="Times New Roman" w:cs="Times New Roman"/>
                      <w:kern w:val="2"/>
                      <w:sz w:val="24"/>
                      <w:szCs w:val="24"/>
                      <w:lang w:val="fr-FR"/>
                    </w:rPr>
                    <w:t>,</w:t>
                  </w:r>
                  <w:r>
                    <w:rPr>
                      <w:rFonts w:ascii="Times New Roman" w:hAnsi="Times New Roman" w:cs="Times New Roman"/>
                      <w:kern w:val="2"/>
                      <w:sz w:val="24"/>
                      <w:szCs w:val="24"/>
                      <w:lang w:val="fr"/>
                    </w:rPr>
                    <w:t>094</w:t>
                  </w:r>
                  <w:r>
                    <w:rPr>
                      <w:rFonts w:ascii="Times New Roman" w:hAnsi="Times New Roman" w:cs="Times New Roman"/>
                      <w:kern w:val="2"/>
                      <w:sz w:val="24"/>
                      <w:szCs w:val="24"/>
                      <w:lang w:val="fr-FR"/>
                    </w:rPr>
                    <w:t>.</w:t>
                  </w:r>
                  <w:r>
                    <w:rPr>
                      <w:rFonts w:ascii="Times New Roman" w:hAnsi="Times New Roman" w:cs="Times New Roman"/>
                      <w:kern w:val="2"/>
                      <w:sz w:val="24"/>
                      <w:szCs w:val="24"/>
                      <w:lang w:val="fr"/>
                    </w:rPr>
                    <w:t>15</w:t>
                  </w:r>
                </w:p>
              </w:tc>
              <w:tc>
                <w:tcPr>
                  <w:tcW w:w="1626" w:type="dxa"/>
                  <w:vAlign w:val="center"/>
                </w:tcPr>
                <w:p w14:paraId="12C45340" w14:textId="77777777" w:rsidR="001B58C7" w:rsidRDefault="000F0E0E">
                  <w:pPr>
                    <w:pStyle w:val="Textedebulles"/>
                    <w:numPr>
                      <w:ilvl w:val="12"/>
                      <w:numId w:val="0"/>
                    </w:numPr>
                    <w:tabs>
                      <w:tab w:val="left" w:pos="-720"/>
                      <w:tab w:val="left" w:pos="4500"/>
                    </w:tabs>
                    <w:suppressAutoHyphens/>
                    <w:spacing w:after="160" w:line="276" w:lineRule="auto"/>
                    <w:rPr>
                      <w:rFonts w:ascii="Times New Roman" w:hAnsi="Times New Roman" w:cs="Times New Roman"/>
                      <w:kern w:val="2"/>
                      <w:sz w:val="24"/>
                      <w:szCs w:val="24"/>
                      <w:lang w:val="fr"/>
                    </w:rPr>
                  </w:pPr>
                  <w:r>
                    <w:rPr>
                      <w:rFonts w:ascii="Times New Roman" w:hAnsi="Times New Roman" w:cs="Times New Roman"/>
                      <w:kern w:val="2"/>
                      <w:sz w:val="24"/>
                      <w:szCs w:val="24"/>
                      <w:lang w:val="fr"/>
                    </w:rPr>
                    <w:t>$ 172</w:t>
                  </w:r>
                  <w:r>
                    <w:rPr>
                      <w:rFonts w:ascii="Times New Roman" w:hAnsi="Times New Roman" w:cs="Times New Roman"/>
                      <w:kern w:val="2"/>
                      <w:sz w:val="24"/>
                      <w:szCs w:val="24"/>
                      <w:lang w:val="fr-FR"/>
                    </w:rPr>
                    <w:t>,</w:t>
                  </w:r>
                  <w:r>
                    <w:rPr>
                      <w:rFonts w:ascii="Times New Roman" w:hAnsi="Times New Roman" w:cs="Times New Roman"/>
                      <w:kern w:val="2"/>
                      <w:sz w:val="24"/>
                      <w:szCs w:val="24"/>
                      <w:lang w:val="fr"/>
                    </w:rPr>
                    <w:t xml:space="preserve"> 615.91</w:t>
                  </w:r>
                </w:p>
              </w:tc>
              <w:tc>
                <w:tcPr>
                  <w:tcW w:w="1400" w:type="dxa"/>
                  <w:vAlign w:val="center"/>
                </w:tcPr>
                <w:p w14:paraId="10BA8B48" w14:textId="77777777" w:rsidR="001B58C7" w:rsidRDefault="000F0E0E">
                  <w:pPr>
                    <w:pStyle w:val="Textedebulles"/>
                    <w:spacing w:after="160" w:line="276" w:lineRule="auto"/>
                    <w:rPr>
                      <w:rFonts w:ascii="Times New Roman" w:hAnsi="Times New Roman" w:cs="Times New Roman"/>
                      <w:kern w:val="2"/>
                      <w:sz w:val="24"/>
                      <w:szCs w:val="24"/>
                      <w:lang w:val="fr"/>
                    </w:rPr>
                  </w:pPr>
                  <w:r>
                    <w:rPr>
                      <w:rFonts w:ascii="Times New Roman" w:hAnsi="Times New Roman" w:cs="Times New Roman"/>
                      <w:kern w:val="2"/>
                      <w:sz w:val="24"/>
                      <w:szCs w:val="24"/>
                      <w:lang w:val="fr"/>
                    </w:rPr>
                    <w:t>$ 113,520</w:t>
                  </w:r>
                </w:p>
              </w:tc>
              <w:tc>
                <w:tcPr>
                  <w:tcW w:w="2426" w:type="dxa"/>
                  <w:vAlign w:val="center"/>
                </w:tcPr>
                <w:p w14:paraId="5F7DF224" w14:textId="77777777" w:rsidR="001B58C7" w:rsidRDefault="000F0E0E">
                  <w:pPr>
                    <w:pStyle w:val="Textedebulles"/>
                    <w:numPr>
                      <w:ilvl w:val="12"/>
                      <w:numId w:val="0"/>
                    </w:numPr>
                    <w:tabs>
                      <w:tab w:val="left" w:pos="-720"/>
                      <w:tab w:val="left" w:pos="4500"/>
                    </w:tabs>
                    <w:suppressAutoHyphens/>
                    <w:spacing w:after="160" w:line="276" w:lineRule="auto"/>
                    <w:rPr>
                      <w:rFonts w:ascii="Times New Roman" w:hAnsi="Times New Roman" w:cs="Times New Roman"/>
                      <w:kern w:val="2"/>
                      <w:sz w:val="24"/>
                      <w:szCs w:val="24"/>
                      <w:lang w:val="fr-FR"/>
                    </w:rPr>
                  </w:pPr>
                  <w:r>
                    <w:rPr>
                      <w:rFonts w:ascii="Times New Roman" w:hAnsi="Times New Roman" w:cs="Times New Roman"/>
                      <w:kern w:val="2"/>
                      <w:sz w:val="24"/>
                      <w:szCs w:val="24"/>
                      <w:lang w:val="fr-FR"/>
                    </w:rPr>
                    <w:t>Monitoring protection, médiation et prévention des conflits via les MARC et d’autres initiatives communautaires existants, Assistance holistique aux victimes y compris le renforcement des capacités des structures communautaires et étatiques, la sécurisation foncière.</w:t>
                  </w:r>
                </w:p>
              </w:tc>
            </w:tr>
            <w:tr w:rsidR="001B58C7" w:rsidRPr="00ED3A8A" w14:paraId="315FAD43" w14:textId="77777777">
              <w:trPr>
                <w:trHeight w:val="300"/>
              </w:trPr>
              <w:tc>
                <w:tcPr>
                  <w:tcW w:w="1493" w:type="dxa"/>
                  <w:vAlign w:val="center"/>
                </w:tcPr>
                <w:p w14:paraId="2B9F9961" w14:textId="77777777" w:rsidR="001B58C7" w:rsidRDefault="000F0E0E">
                  <w:pPr>
                    <w:pStyle w:val="Textedebulles"/>
                    <w:numPr>
                      <w:ilvl w:val="12"/>
                      <w:numId w:val="0"/>
                    </w:numPr>
                    <w:tabs>
                      <w:tab w:val="left" w:pos="-720"/>
                      <w:tab w:val="left" w:pos="4500"/>
                    </w:tabs>
                    <w:suppressAutoHyphens/>
                    <w:spacing w:after="160" w:line="276" w:lineRule="auto"/>
                    <w:rPr>
                      <w:rFonts w:ascii="Times New Roman" w:hAnsi="Times New Roman" w:cs="Times New Roman"/>
                      <w:kern w:val="2"/>
                      <w:sz w:val="24"/>
                      <w:szCs w:val="24"/>
                      <w:lang w:val="fr"/>
                    </w:rPr>
                  </w:pPr>
                  <w:r>
                    <w:rPr>
                      <w:rFonts w:ascii="Times New Roman" w:hAnsi="Times New Roman" w:cs="Times New Roman"/>
                      <w:kern w:val="2"/>
                      <w:sz w:val="24"/>
                      <w:szCs w:val="24"/>
                      <w:lang w:val="fr"/>
                    </w:rPr>
                    <w:t xml:space="preserve">VIBOSA (partenaire HCR) </w:t>
                  </w:r>
                </w:p>
              </w:tc>
              <w:tc>
                <w:tcPr>
                  <w:tcW w:w="1364" w:type="dxa"/>
                  <w:vAlign w:val="center"/>
                </w:tcPr>
                <w:p w14:paraId="24CBDE74" w14:textId="77777777" w:rsidR="001B58C7" w:rsidRDefault="000F0E0E">
                  <w:pPr>
                    <w:pStyle w:val="Textedebulles"/>
                    <w:numPr>
                      <w:ilvl w:val="12"/>
                      <w:numId w:val="0"/>
                    </w:numPr>
                    <w:tabs>
                      <w:tab w:val="left" w:pos="-720"/>
                      <w:tab w:val="left" w:pos="4500"/>
                    </w:tabs>
                    <w:suppressAutoHyphens/>
                    <w:spacing w:after="160" w:line="276" w:lineRule="auto"/>
                    <w:rPr>
                      <w:rFonts w:ascii="Times New Roman" w:hAnsi="Times New Roman" w:cs="Times New Roman"/>
                      <w:kern w:val="2"/>
                      <w:sz w:val="24"/>
                      <w:szCs w:val="24"/>
                      <w:lang w:val="fr"/>
                    </w:rPr>
                  </w:pPr>
                  <w:r>
                    <w:rPr>
                      <w:rFonts w:ascii="Times New Roman" w:hAnsi="Times New Roman" w:cs="Times New Roman"/>
                      <w:kern w:val="2"/>
                      <w:sz w:val="24"/>
                      <w:szCs w:val="24"/>
                      <w:lang w:val="fr"/>
                    </w:rPr>
                    <w:t>/ONG Nationale</w:t>
                  </w:r>
                </w:p>
              </w:tc>
              <w:tc>
                <w:tcPr>
                  <w:tcW w:w="1530" w:type="dxa"/>
                  <w:vAlign w:val="center"/>
                </w:tcPr>
                <w:p w14:paraId="3C21D52B" w14:textId="77777777" w:rsidR="001B58C7" w:rsidRDefault="000F0E0E">
                  <w:pPr>
                    <w:pStyle w:val="Textedebulles"/>
                    <w:spacing w:after="160" w:line="276" w:lineRule="auto"/>
                    <w:rPr>
                      <w:rFonts w:ascii="Times New Roman" w:hAnsi="Times New Roman" w:cs="Times New Roman"/>
                      <w:kern w:val="2"/>
                      <w:sz w:val="24"/>
                      <w:szCs w:val="24"/>
                      <w:lang w:val="fr"/>
                    </w:rPr>
                  </w:pPr>
                  <w:r>
                    <w:rPr>
                      <w:rFonts w:ascii="Times New Roman" w:hAnsi="Times New Roman" w:cs="Times New Roman"/>
                      <w:kern w:val="2"/>
                      <w:sz w:val="24"/>
                      <w:szCs w:val="24"/>
                      <w:lang w:val="fr"/>
                    </w:rPr>
                    <w:t>$ 104</w:t>
                  </w:r>
                  <w:r>
                    <w:rPr>
                      <w:rFonts w:ascii="Times New Roman" w:hAnsi="Times New Roman" w:cs="Times New Roman"/>
                      <w:kern w:val="2"/>
                      <w:sz w:val="24"/>
                      <w:szCs w:val="24"/>
                      <w:lang w:val="fr-FR"/>
                    </w:rPr>
                    <w:t>,</w:t>
                  </w:r>
                  <w:r>
                    <w:rPr>
                      <w:rFonts w:ascii="Times New Roman" w:hAnsi="Times New Roman" w:cs="Times New Roman"/>
                      <w:kern w:val="2"/>
                      <w:sz w:val="24"/>
                      <w:szCs w:val="24"/>
                      <w:lang w:val="fr"/>
                    </w:rPr>
                    <w:t>031.90</w:t>
                  </w:r>
                </w:p>
              </w:tc>
              <w:tc>
                <w:tcPr>
                  <w:tcW w:w="1626" w:type="dxa"/>
                  <w:vAlign w:val="center"/>
                </w:tcPr>
                <w:p w14:paraId="78FBA1F8" w14:textId="77777777" w:rsidR="001B58C7" w:rsidRDefault="000F0E0E">
                  <w:pPr>
                    <w:pStyle w:val="Textedebulles"/>
                    <w:numPr>
                      <w:ilvl w:val="12"/>
                      <w:numId w:val="0"/>
                    </w:numPr>
                    <w:tabs>
                      <w:tab w:val="left" w:pos="-720"/>
                      <w:tab w:val="left" w:pos="4500"/>
                    </w:tabs>
                    <w:suppressAutoHyphens/>
                    <w:spacing w:after="160" w:line="276" w:lineRule="auto"/>
                    <w:rPr>
                      <w:rFonts w:ascii="Times New Roman" w:hAnsi="Times New Roman" w:cs="Times New Roman"/>
                      <w:kern w:val="2"/>
                      <w:sz w:val="24"/>
                      <w:szCs w:val="24"/>
                      <w:lang w:val="fr"/>
                    </w:rPr>
                  </w:pPr>
                  <w:r>
                    <w:rPr>
                      <w:rFonts w:ascii="Times New Roman" w:hAnsi="Times New Roman" w:cs="Times New Roman"/>
                      <w:kern w:val="2"/>
                      <w:sz w:val="24"/>
                      <w:szCs w:val="24"/>
                      <w:lang w:val="fr"/>
                    </w:rPr>
                    <w:t>$ 72</w:t>
                  </w:r>
                  <w:r>
                    <w:rPr>
                      <w:rFonts w:ascii="Times New Roman" w:hAnsi="Times New Roman" w:cs="Times New Roman"/>
                      <w:kern w:val="2"/>
                      <w:sz w:val="24"/>
                      <w:szCs w:val="24"/>
                      <w:lang w:val="fr-FR"/>
                    </w:rPr>
                    <w:t>,</w:t>
                  </w:r>
                  <w:r>
                    <w:rPr>
                      <w:rFonts w:ascii="Times New Roman" w:hAnsi="Times New Roman" w:cs="Times New Roman"/>
                      <w:kern w:val="2"/>
                      <w:sz w:val="24"/>
                      <w:szCs w:val="24"/>
                      <w:lang w:val="fr"/>
                    </w:rPr>
                    <w:t>822.33</w:t>
                  </w:r>
                </w:p>
              </w:tc>
              <w:tc>
                <w:tcPr>
                  <w:tcW w:w="1400" w:type="dxa"/>
                  <w:vAlign w:val="center"/>
                </w:tcPr>
                <w:p w14:paraId="68818EA4" w14:textId="77777777" w:rsidR="001B58C7" w:rsidRDefault="000F0E0E">
                  <w:pPr>
                    <w:pStyle w:val="Textedebulles"/>
                    <w:spacing w:after="160" w:line="276" w:lineRule="auto"/>
                    <w:ind w:left="120" w:hangingChars="50" w:hanging="120"/>
                    <w:rPr>
                      <w:rFonts w:ascii="Times New Roman" w:hAnsi="Times New Roman" w:cs="Times New Roman"/>
                      <w:kern w:val="2"/>
                      <w:sz w:val="24"/>
                      <w:szCs w:val="24"/>
                      <w:lang w:val="fr"/>
                    </w:rPr>
                  </w:pPr>
                  <w:r>
                    <w:rPr>
                      <w:rFonts w:ascii="Times New Roman" w:hAnsi="Times New Roman" w:cs="Times New Roman"/>
                      <w:kern w:val="2"/>
                      <w:sz w:val="24"/>
                      <w:szCs w:val="24"/>
                      <w:lang w:val="fr"/>
                    </w:rPr>
                    <w:t>$ 72</w:t>
                  </w:r>
                  <w:r>
                    <w:rPr>
                      <w:rFonts w:ascii="Times New Roman" w:hAnsi="Times New Roman" w:cs="Times New Roman"/>
                      <w:kern w:val="2"/>
                      <w:sz w:val="24"/>
                      <w:szCs w:val="24"/>
                      <w:lang w:val="fr-FR"/>
                    </w:rPr>
                    <w:t>,</w:t>
                  </w:r>
                  <w:r>
                    <w:rPr>
                      <w:rFonts w:ascii="Times New Roman" w:hAnsi="Times New Roman" w:cs="Times New Roman"/>
                      <w:kern w:val="2"/>
                      <w:sz w:val="24"/>
                      <w:szCs w:val="24"/>
                      <w:lang w:val="fr"/>
                    </w:rPr>
                    <w:t>822.33</w:t>
                  </w:r>
                </w:p>
              </w:tc>
              <w:tc>
                <w:tcPr>
                  <w:tcW w:w="2426" w:type="dxa"/>
                  <w:vAlign w:val="center"/>
                </w:tcPr>
                <w:p w14:paraId="4D4A2AFB" w14:textId="77777777" w:rsidR="001B58C7" w:rsidRDefault="000F0E0E">
                  <w:pPr>
                    <w:pStyle w:val="Textedebulles"/>
                    <w:numPr>
                      <w:ilvl w:val="12"/>
                      <w:numId w:val="0"/>
                    </w:numPr>
                    <w:tabs>
                      <w:tab w:val="left" w:pos="-720"/>
                      <w:tab w:val="left" w:pos="4500"/>
                    </w:tabs>
                    <w:suppressAutoHyphens/>
                    <w:spacing w:after="160" w:line="276" w:lineRule="auto"/>
                    <w:rPr>
                      <w:rFonts w:ascii="Times New Roman" w:hAnsi="Times New Roman" w:cs="Times New Roman"/>
                      <w:kern w:val="2"/>
                      <w:sz w:val="24"/>
                      <w:szCs w:val="24"/>
                      <w:lang w:val="fr-FR"/>
                    </w:rPr>
                  </w:pPr>
                  <w:r>
                    <w:rPr>
                      <w:rFonts w:ascii="Times New Roman" w:hAnsi="Times New Roman" w:cs="Times New Roman"/>
                      <w:kern w:val="2"/>
                      <w:sz w:val="24"/>
                      <w:szCs w:val="24"/>
                      <w:lang w:val="fr-FR"/>
                    </w:rPr>
                    <w:t xml:space="preserve">Monitoring protection, Financer et mettre en œuvre 8 plans communautaires de réponse aux conflits et renforcer les capacités des agents des services techniques de l’État sur la protection, les droits humains et la PSEA. </w:t>
                  </w:r>
                </w:p>
              </w:tc>
            </w:tr>
          </w:tbl>
          <w:p w14:paraId="3E86A128" w14:textId="77777777" w:rsidR="001B58C7" w:rsidRDefault="000F0E0E">
            <w:pPr>
              <w:pStyle w:val="Textedebulles"/>
              <w:numPr>
                <w:ilvl w:val="12"/>
                <w:numId w:val="0"/>
              </w:numPr>
              <w:tabs>
                <w:tab w:val="left" w:pos="-720"/>
                <w:tab w:val="left" w:pos="4500"/>
              </w:tabs>
              <w:suppressAutoHyphens/>
              <w:spacing w:after="160" w:line="276" w:lineRule="auto"/>
              <w:rPr>
                <w:rFonts w:ascii="Times New Roman" w:hAnsi="Times New Roman" w:cs="Times New Roman"/>
                <w:b/>
                <w:bCs/>
                <w:kern w:val="2"/>
                <w:sz w:val="24"/>
                <w:szCs w:val="24"/>
                <w:lang w:val="fr-FR"/>
              </w:rPr>
            </w:pPr>
            <w:r>
              <w:rPr>
                <w:rFonts w:ascii="Times New Roman" w:hAnsi="Times New Roman" w:cs="Times New Roman"/>
                <w:b/>
                <w:bCs/>
                <w:kern w:val="2"/>
                <w:sz w:val="24"/>
                <w:szCs w:val="24"/>
                <w:lang w:val="fr-FR"/>
              </w:rPr>
              <w:t>Budgétisation sensible au genre :</w:t>
            </w:r>
          </w:p>
          <w:p w14:paraId="4DE14FC0" w14:textId="77777777" w:rsidR="001B58C7" w:rsidRDefault="000F0E0E">
            <w:pPr>
              <w:pStyle w:val="Textedebulles"/>
              <w:tabs>
                <w:tab w:val="left" w:pos="4500"/>
              </w:tabs>
              <w:suppressAutoHyphens/>
              <w:spacing w:after="160" w:line="276" w:lineRule="auto"/>
              <w:rPr>
                <w:rFonts w:asciiTheme="majorBidi" w:hAnsiTheme="majorBidi" w:cstheme="majorBidi"/>
                <w:b/>
                <w:bCs/>
                <w:kern w:val="2"/>
                <w:sz w:val="24"/>
                <w:szCs w:val="24"/>
                <w:lang w:val="fr-FR"/>
              </w:rPr>
            </w:pPr>
            <w:r>
              <w:rPr>
                <w:rFonts w:asciiTheme="majorBidi" w:hAnsiTheme="majorBidi" w:cstheme="majorBidi"/>
                <w:kern w:val="2"/>
                <w:sz w:val="24"/>
                <w:szCs w:val="24"/>
                <w:lang w:val="fr-FR"/>
              </w:rPr>
              <w:t xml:space="preserve">Indiquez quel pourcentage (%) du budget contribuant à l'égalité des sexes ou l'autonomisation des femmes (GEWE) tel que mentionné dans le document du projet ? </w:t>
            </w:r>
            <w:r>
              <w:rPr>
                <w:rFonts w:asciiTheme="majorBidi" w:hAnsiTheme="majorBidi" w:cstheme="majorBidi"/>
                <w:b/>
                <w:bCs/>
                <w:kern w:val="2"/>
                <w:sz w:val="24"/>
                <w:szCs w:val="24"/>
                <w:lang w:val="fr-FR"/>
              </w:rPr>
              <w:t>33,33%</w:t>
            </w:r>
          </w:p>
          <w:p w14:paraId="57BD58E2" w14:textId="77777777" w:rsidR="001B58C7" w:rsidRDefault="000F0E0E">
            <w:pPr>
              <w:pStyle w:val="Textedebulles"/>
              <w:tabs>
                <w:tab w:val="left" w:pos="4500"/>
              </w:tabs>
              <w:suppressAutoHyphens/>
              <w:spacing w:after="160" w:line="276" w:lineRule="auto"/>
              <w:rPr>
                <w:rFonts w:asciiTheme="majorBidi" w:hAnsiTheme="majorBidi" w:cstheme="majorBidi"/>
                <w:kern w:val="2"/>
                <w:sz w:val="24"/>
                <w:szCs w:val="24"/>
                <w:lang w:val="fr-FR"/>
              </w:rPr>
            </w:pPr>
            <w:r>
              <w:rPr>
                <w:rFonts w:asciiTheme="majorBidi" w:hAnsiTheme="majorBidi" w:cstheme="majorBidi"/>
                <w:kern w:val="2"/>
                <w:sz w:val="24"/>
                <w:szCs w:val="24"/>
                <w:lang w:val="fr-FR"/>
              </w:rPr>
              <w:t xml:space="preserve">Indiquez le montant ($) du budget dans le document de projet contribuant à l’égalité des sexes ou à l’autonomisation des femmes : </w:t>
            </w:r>
            <w:r>
              <w:rPr>
                <w:rFonts w:asciiTheme="majorBidi" w:hAnsiTheme="majorBidi" w:cstheme="majorBidi"/>
                <w:b/>
                <w:bCs/>
                <w:kern w:val="2"/>
                <w:sz w:val="24"/>
                <w:szCs w:val="24"/>
                <w:lang w:val="fr-FR"/>
              </w:rPr>
              <w:t>$ 666,606.24</w:t>
            </w:r>
          </w:p>
          <w:p w14:paraId="1607B1AB" w14:textId="77777777" w:rsidR="001B58C7" w:rsidRDefault="000F0E0E">
            <w:pPr>
              <w:spacing w:after="160" w:line="276" w:lineRule="auto"/>
              <w:rPr>
                <w:rFonts w:asciiTheme="majorBidi" w:hAnsiTheme="majorBidi" w:cstheme="majorBidi"/>
                <w:kern w:val="2"/>
                <w:lang w:val="fr-FR"/>
              </w:rPr>
            </w:pPr>
            <w:r>
              <w:rPr>
                <w:rFonts w:asciiTheme="majorBidi" w:hAnsiTheme="majorBidi" w:cstheme="majorBidi"/>
                <w:kern w:val="2"/>
                <w:lang w:val="fr-FR"/>
              </w:rPr>
              <w:t xml:space="preserve">Indiquez le montant ($) du budget dépensé jusqu’à maintenant contribuant à l’égalité des sexes ou à l’autonomisation des femmes : </w:t>
            </w:r>
            <w:r>
              <w:rPr>
                <w:rFonts w:asciiTheme="majorBidi" w:hAnsiTheme="majorBidi" w:cstheme="majorBidi"/>
                <w:b/>
                <w:bCs/>
                <w:kern w:val="2"/>
                <w:lang w:val="fr-FR"/>
              </w:rPr>
              <w:t>$ 341,495.51</w:t>
            </w:r>
          </w:p>
        </w:tc>
      </w:tr>
      <w:tr w:rsidR="001B58C7" w:rsidRPr="00ED3A8A" w14:paraId="2FACD5F8" w14:textId="77777777">
        <w:trPr>
          <w:trHeight w:val="1124"/>
        </w:trPr>
        <w:tc>
          <w:tcPr>
            <w:tcW w:w="10036" w:type="dxa"/>
            <w:gridSpan w:val="2"/>
          </w:tcPr>
          <w:p w14:paraId="30E52195" w14:textId="77777777" w:rsidR="001B58C7" w:rsidRDefault="000F0E0E">
            <w:pPr>
              <w:spacing w:after="160" w:line="276" w:lineRule="auto"/>
              <w:rPr>
                <w:b/>
                <w:bCs/>
                <w:iCs/>
                <w:kern w:val="2"/>
                <w:lang w:val="fr-FR"/>
              </w:rPr>
            </w:pPr>
            <w:r>
              <w:rPr>
                <w:b/>
                <w:bCs/>
                <w:iCs/>
                <w:kern w:val="2"/>
                <w:lang w:val="fr-FR"/>
              </w:rPr>
              <w:lastRenderedPageBreak/>
              <w:t>Marquer de genre du projet : 2</w:t>
            </w:r>
          </w:p>
          <w:p w14:paraId="614627F8" w14:textId="77777777" w:rsidR="001B58C7" w:rsidRDefault="000F0E0E">
            <w:pPr>
              <w:spacing w:after="160" w:line="276" w:lineRule="auto"/>
              <w:rPr>
                <w:b/>
                <w:bCs/>
                <w:iCs/>
                <w:kern w:val="2"/>
                <w:lang w:val="fr-FR"/>
              </w:rPr>
            </w:pPr>
            <w:r>
              <w:rPr>
                <w:b/>
                <w:bCs/>
                <w:iCs/>
                <w:kern w:val="2"/>
                <w:lang w:val="fr-FR"/>
              </w:rPr>
              <w:t>Marquer de risque du projet : 1</w:t>
            </w:r>
          </w:p>
          <w:p w14:paraId="5B7842F0" w14:textId="77777777" w:rsidR="001B58C7" w:rsidRDefault="000F0E0E">
            <w:pPr>
              <w:spacing w:after="160" w:line="276" w:lineRule="auto"/>
              <w:rPr>
                <w:b/>
                <w:bCs/>
                <w:kern w:val="2"/>
                <w:lang w:val="fr-FR"/>
              </w:rPr>
            </w:pPr>
            <w:r>
              <w:rPr>
                <w:b/>
                <w:bCs/>
                <w:kern w:val="2"/>
                <w:lang w:val="fr-FR"/>
              </w:rPr>
              <w:t>Domaine de priorité de l’intervention PBF (« PBF focus area ») : État</w:t>
            </w:r>
            <w:r>
              <w:rPr>
                <w:rStyle w:val="Marquedecommentaire"/>
                <w:b/>
                <w:bCs/>
                <w:kern w:val="2"/>
                <w:sz w:val="24"/>
                <w:szCs w:val="24"/>
                <w:lang w:val="fr-FR"/>
              </w:rPr>
              <w:t xml:space="preserve"> de droit</w:t>
            </w:r>
          </w:p>
        </w:tc>
      </w:tr>
      <w:tr w:rsidR="001B58C7" w:rsidRPr="00ED3A8A" w14:paraId="4ADFB539" w14:textId="77777777">
        <w:trPr>
          <w:trHeight w:val="1124"/>
        </w:trPr>
        <w:tc>
          <w:tcPr>
            <w:tcW w:w="10036" w:type="dxa"/>
            <w:gridSpan w:val="2"/>
          </w:tcPr>
          <w:p w14:paraId="14994A56" w14:textId="77777777" w:rsidR="001B58C7" w:rsidRDefault="000F0E0E">
            <w:pPr>
              <w:spacing w:after="160" w:line="276" w:lineRule="auto"/>
              <w:jc w:val="both"/>
              <w:rPr>
                <w:b/>
                <w:bCs/>
                <w:iCs/>
                <w:kern w:val="2"/>
                <w:lang w:val="fr-FR"/>
              </w:rPr>
            </w:pPr>
            <w:r>
              <w:rPr>
                <w:b/>
                <w:bCs/>
                <w:iCs/>
                <w:kern w:val="2"/>
                <w:lang w:val="fr-FR"/>
              </w:rPr>
              <w:t>Comité de Pilotage et Interactions avec le gouvernement</w:t>
            </w:r>
          </w:p>
          <w:p w14:paraId="57C58468" w14:textId="77777777" w:rsidR="001B58C7" w:rsidRDefault="000F0E0E">
            <w:pPr>
              <w:pStyle w:val="Paragraphedeliste"/>
              <w:spacing w:after="160" w:line="276" w:lineRule="auto"/>
              <w:ind w:left="0"/>
              <w:jc w:val="both"/>
              <w:rPr>
                <w:rFonts w:asciiTheme="majorBidi" w:hAnsiTheme="majorBidi" w:cstheme="majorBidi"/>
                <w:i/>
                <w:iCs/>
                <w:kern w:val="2"/>
                <w:lang w:val="fr-FR"/>
              </w:rPr>
            </w:pPr>
            <w:r>
              <w:rPr>
                <w:rFonts w:asciiTheme="majorBidi" w:hAnsiTheme="majorBidi" w:cstheme="majorBidi"/>
                <w:i/>
                <w:iCs/>
                <w:kern w:val="2"/>
                <w:lang w:val="fr-FR"/>
              </w:rPr>
              <w:t>Est-ce qu'un comité de pilotage actif existe pour ce projet ?</w:t>
            </w:r>
          </w:p>
          <w:p w14:paraId="4F756857" w14:textId="77777777" w:rsidR="001B58C7" w:rsidRDefault="001B58C7">
            <w:pPr>
              <w:pStyle w:val="Paragraphedeliste"/>
              <w:spacing w:after="160" w:line="276" w:lineRule="auto"/>
              <w:ind w:left="0"/>
              <w:jc w:val="both"/>
              <w:rPr>
                <w:rFonts w:asciiTheme="majorBidi" w:hAnsiTheme="majorBidi" w:cstheme="majorBidi"/>
                <w:i/>
                <w:iCs/>
                <w:kern w:val="2"/>
                <w:lang w:val="fr-FR"/>
              </w:rPr>
            </w:pPr>
          </w:p>
          <w:p w14:paraId="6630B449" w14:textId="77777777" w:rsidR="001B58C7" w:rsidRDefault="000F0E0E">
            <w:pPr>
              <w:pStyle w:val="Paragraphedeliste"/>
              <w:spacing w:after="160" w:line="276" w:lineRule="auto"/>
              <w:ind w:left="0"/>
              <w:jc w:val="both"/>
              <w:rPr>
                <w:rFonts w:asciiTheme="majorBidi" w:hAnsiTheme="majorBidi" w:cstheme="majorBidi"/>
                <w:kern w:val="2"/>
                <w:lang w:val="fr-FR"/>
              </w:rPr>
            </w:pPr>
            <w:r>
              <w:rPr>
                <w:rFonts w:asciiTheme="majorBidi" w:hAnsiTheme="majorBidi" w:cstheme="majorBidi"/>
                <w:kern w:val="2"/>
                <w:lang w:val="fr-FR"/>
              </w:rPr>
              <w:t>OUI un comité de pilotage existe pour ce projet.</w:t>
            </w:r>
          </w:p>
          <w:p w14:paraId="758136D3" w14:textId="77777777" w:rsidR="001B58C7" w:rsidRDefault="001B58C7">
            <w:pPr>
              <w:pStyle w:val="Paragraphedeliste"/>
              <w:spacing w:after="160" w:line="276" w:lineRule="auto"/>
              <w:ind w:left="0"/>
              <w:jc w:val="both"/>
              <w:rPr>
                <w:rFonts w:asciiTheme="majorBidi" w:hAnsiTheme="majorBidi" w:cstheme="majorBidi"/>
                <w:kern w:val="2"/>
                <w:lang w:val="fr-FR"/>
              </w:rPr>
            </w:pPr>
          </w:p>
          <w:p w14:paraId="7921227A" w14:textId="77777777" w:rsidR="001B58C7" w:rsidRDefault="000F0E0E">
            <w:pPr>
              <w:pStyle w:val="Paragraphedeliste"/>
              <w:spacing w:after="160" w:line="276" w:lineRule="auto"/>
              <w:ind w:left="0"/>
              <w:jc w:val="both"/>
              <w:rPr>
                <w:i/>
                <w:iCs/>
                <w:kern w:val="2"/>
                <w:lang w:val="fr-FR"/>
              </w:rPr>
            </w:pPr>
            <w:r>
              <w:rPr>
                <w:rFonts w:asciiTheme="majorBidi" w:hAnsiTheme="majorBidi" w:cstheme="majorBidi"/>
                <w:i/>
                <w:iCs/>
                <w:kern w:val="2"/>
                <w:lang w:val="fr-FR"/>
              </w:rPr>
              <w:t xml:space="preserve">Si oui, veuillez indiquer le nombre de rencontres du comité de pilotage de projet au cours des 6 derniers mois </w:t>
            </w:r>
            <w:r>
              <w:rPr>
                <w:i/>
                <w:iCs/>
                <w:kern w:val="2"/>
                <w:lang w:val="fr-FR"/>
              </w:rPr>
              <w:t>(3000 caractères).</w:t>
            </w:r>
          </w:p>
          <w:p w14:paraId="07349CD5" w14:textId="77777777" w:rsidR="001B58C7" w:rsidRPr="00ED3A8A" w:rsidRDefault="000F0E0E">
            <w:pPr>
              <w:pStyle w:val="NormalWeb"/>
              <w:spacing w:after="160" w:line="200" w:lineRule="atLeast"/>
              <w:jc w:val="both"/>
              <w:rPr>
                <w:kern w:val="2"/>
                <w:lang w:val="fr-FR"/>
              </w:rPr>
            </w:pPr>
            <w:r w:rsidRPr="00ED3A8A">
              <w:rPr>
                <w:rFonts w:eastAsia="Segoe UI"/>
                <w:kern w:val="2"/>
                <w:lang w:val="fr-FR"/>
              </w:rPr>
              <w:t xml:space="preserve">Le projet PROJUST dispose d’un mécanisme de gouvernance structuré autour d’un </w:t>
            </w:r>
            <w:r w:rsidRPr="00ED3A8A">
              <w:rPr>
                <w:rStyle w:val="lev"/>
                <w:rFonts w:eastAsia="Segoe UI"/>
                <w:kern w:val="2"/>
                <w:lang w:val="fr-FR"/>
              </w:rPr>
              <w:t>Comité de Pilotage (COPIL)</w:t>
            </w:r>
            <w:r w:rsidRPr="00ED3A8A">
              <w:rPr>
                <w:rFonts w:eastAsia="Segoe UI"/>
                <w:kern w:val="2"/>
                <w:lang w:val="fr-FR"/>
              </w:rPr>
              <w:t xml:space="preserve">, qui assure l’orientation stratégique et la supervision globale de sa mise en œuvre. Au cours de la période sous revue, </w:t>
            </w:r>
            <w:r w:rsidRPr="00ED3A8A">
              <w:rPr>
                <w:rStyle w:val="lev"/>
                <w:rFonts w:eastAsia="Segoe UI"/>
                <w:kern w:val="2"/>
                <w:lang w:val="fr-FR"/>
              </w:rPr>
              <w:t>une réunion du COPIL</w:t>
            </w:r>
            <w:r w:rsidRPr="00ED3A8A">
              <w:rPr>
                <w:rFonts w:eastAsia="Segoe UI"/>
                <w:kern w:val="2"/>
                <w:lang w:val="fr-FR"/>
              </w:rPr>
              <w:t xml:space="preserve"> a été organisée, correspondant à sa </w:t>
            </w:r>
            <w:r w:rsidRPr="00ED3A8A">
              <w:rPr>
                <w:rStyle w:val="lev"/>
                <w:rFonts w:eastAsia="Segoe UI"/>
                <w:kern w:val="2"/>
                <w:lang w:val="fr-FR"/>
              </w:rPr>
              <w:t>2</w:t>
            </w:r>
            <w:r>
              <w:rPr>
                <w:rStyle w:val="lev"/>
                <w:rFonts w:eastAsia="Segoe UI"/>
                <w:kern w:val="2"/>
              </w:rPr>
              <w:t>ᵉ</w:t>
            </w:r>
            <w:r w:rsidRPr="00ED3A8A">
              <w:rPr>
                <w:rStyle w:val="lev"/>
                <w:rFonts w:eastAsia="Segoe UI"/>
                <w:kern w:val="2"/>
                <w:lang w:val="fr-FR"/>
              </w:rPr>
              <w:t xml:space="preserve"> session tenue le 12 juin 2026 à Kinshasa</w:t>
            </w:r>
            <w:r w:rsidRPr="00ED3A8A">
              <w:rPr>
                <w:rFonts w:eastAsia="Segoe UI"/>
                <w:kern w:val="2"/>
                <w:lang w:val="fr-FR"/>
              </w:rPr>
              <w:t>. Cette session a permis d’examiner l’état d’avancement du projet, d’analyser les performances opérationnelles et financières, et d’identifier les principaux risques et défis nécessitant des décisions stratégiques. Le COPIL a ainsi joué pleinement son rôle d’instance décisionnelle, en orientant les priorités et en validant les mesures d’ajustement nécessaires</w:t>
            </w:r>
            <w:r>
              <w:rPr>
                <w:rFonts w:eastAsia="Segoe UI"/>
                <w:kern w:val="2"/>
                <w:lang w:val="fr-FR"/>
              </w:rPr>
              <w:t xml:space="preserve"> </w:t>
            </w:r>
            <w:r>
              <w:rPr>
                <w:rFonts w:eastAsia="Segoe UI"/>
                <w:b/>
                <w:bCs/>
                <w:kern w:val="2"/>
                <w:lang w:val="fr-FR"/>
              </w:rPr>
              <w:t>(Présentation power point 2è réunion du COPIL du 12 juin 2026)</w:t>
            </w:r>
            <w:r w:rsidRPr="00ED3A8A">
              <w:rPr>
                <w:rFonts w:eastAsia="Segoe UI"/>
                <w:b/>
                <w:bCs/>
                <w:kern w:val="2"/>
                <w:lang w:val="fr-FR"/>
              </w:rPr>
              <w:t>.</w:t>
            </w:r>
            <w:r w:rsidRPr="00ED3A8A">
              <w:rPr>
                <w:rFonts w:eastAsia="Segoe UI"/>
                <w:kern w:val="2"/>
                <w:lang w:val="fr-FR"/>
              </w:rPr>
              <w:t xml:space="preserve"> </w:t>
            </w:r>
          </w:p>
          <w:p w14:paraId="08714A42" w14:textId="3613139B" w:rsidR="001B58C7" w:rsidRPr="00ED3A8A" w:rsidRDefault="000F0E0E">
            <w:pPr>
              <w:pStyle w:val="NormalWeb"/>
              <w:spacing w:after="160" w:line="200" w:lineRule="atLeast"/>
              <w:jc w:val="both"/>
              <w:rPr>
                <w:kern w:val="2"/>
                <w:lang w:val="fr-FR"/>
              </w:rPr>
            </w:pPr>
            <w:r w:rsidRPr="00ED3A8A">
              <w:rPr>
                <w:rFonts w:eastAsia="Segoe UI"/>
                <w:kern w:val="2"/>
                <w:lang w:val="fr-FR"/>
              </w:rPr>
              <w:t xml:space="preserve">En amont de ce cadre stratégique, le projet s’appuie sur un dispositif opérationnel </w:t>
            </w:r>
            <w:r w:rsidR="000567C9" w:rsidRPr="00ED3A8A">
              <w:rPr>
                <w:rFonts w:eastAsia="Segoe UI"/>
                <w:kern w:val="2"/>
                <w:lang w:val="fr-FR"/>
              </w:rPr>
              <w:t xml:space="preserve">décentralisé matérialisé par le </w:t>
            </w:r>
            <w:r w:rsidRPr="00ED3A8A">
              <w:rPr>
                <w:rStyle w:val="lev"/>
                <w:rFonts w:eastAsia="Segoe UI"/>
                <w:kern w:val="2"/>
                <w:lang w:val="fr-FR"/>
              </w:rPr>
              <w:t>Comité Technique Provincial (COTEC</w:t>
            </w:r>
            <w:r>
              <w:rPr>
                <w:rStyle w:val="lev"/>
                <w:rFonts w:eastAsia="Segoe UI"/>
                <w:kern w:val="2"/>
                <w:lang w:val="fr-FR"/>
              </w:rPr>
              <w:t xml:space="preserve"> ou CTP</w:t>
            </w:r>
            <w:r w:rsidRPr="00ED3A8A">
              <w:rPr>
                <w:rStyle w:val="lev"/>
                <w:rFonts w:eastAsia="Segoe UI"/>
                <w:kern w:val="2"/>
                <w:lang w:val="fr-FR"/>
              </w:rPr>
              <w:t>)</w:t>
            </w:r>
            <w:r w:rsidRPr="00ED3A8A">
              <w:rPr>
                <w:rFonts w:eastAsia="Segoe UI"/>
                <w:kern w:val="2"/>
                <w:lang w:val="fr-FR"/>
              </w:rPr>
              <w:t xml:space="preserve">. Durant la période considérée, </w:t>
            </w:r>
            <w:r w:rsidRPr="00ED3A8A">
              <w:rPr>
                <w:rStyle w:val="lev"/>
                <w:rFonts w:eastAsia="Segoe UI"/>
                <w:kern w:val="2"/>
                <w:lang w:val="fr-FR"/>
              </w:rPr>
              <w:t>deux réunions du COTEC</w:t>
            </w:r>
            <w:r>
              <w:rPr>
                <w:rStyle w:val="lev"/>
                <w:rFonts w:eastAsia="Segoe UI"/>
                <w:kern w:val="2"/>
                <w:lang w:val="fr-FR"/>
              </w:rPr>
              <w:t xml:space="preserve"> (CTP)</w:t>
            </w:r>
            <w:r w:rsidRPr="00ED3A8A">
              <w:rPr>
                <w:rFonts w:eastAsia="Segoe UI"/>
                <w:kern w:val="2"/>
                <w:lang w:val="fr-FR"/>
              </w:rPr>
              <w:t xml:space="preserve"> ont été organisées respectivement du </w:t>
            </w:r>
            <w:r w:rsidRPr="00ED3A8A">
              <w:rPr>
                <w:rStyle w:val="lev"/>
                <w:rFonts w:eastAsia="Segoe UI"/>
                <w:kern w:val="2"/>
                <w:lang w:val="fr-FR"/>
              </w:rPr>
              <w:t>05 au 06 mars 2026 à Tshikapa (province du Kasaï)</w:t>
            </w:r>
            <w:r w:rsidRPr="00ED3A8A">
              <w:rPr>
                <w:rFonts w:eastAsia="Segoe UI"/>
                <w:kern w:val="2"/>
                <w:lang w:val="fr-FR"/>
              </w:rPr>
              <w:t xml:space="preserve"> et du </w:t>
            </w:r>
            <w:r w:rsidRPr="00ED3A8A">
              <w:rPr>
                <w:rStyle w:val="lev"/>
                <w:rFonts w:eastAsia="Segoe UI"/>
                <w:kern w:val="2"/>
                <w:lang w:val="fr-FR"/>
              </w:rPr>
              <w:t>13 au 14 mars 2026 à Kananga (province du Kasaï Central)</w:t>
            </w:r>
            <w:r w:rsidRPr="00ED3A8A">
              <w:rPr>
                <w:rFonts w:eastAsia="Segoe UI"/>
                <w:kern w:val="2"/>
                <w:lang w:val="fr-FR"/>
              </w:rPr>
              <w:t>. Ces rencontres ont constitué des espaces clés de coordination technique, réunissant les partenaires d’exécution, les autorités locales et les autres parties prenantes. Elles ont permis de faire le point sur l’état de mise en œuvre des activités, d’identifier les contraintes opérationnelles, et de proposer des recommandations concrètes en vue d’améliorer l’ef</w:t>
            </w:r>
            <w:r w:rsidRPr="00ED3A8A">
              <w:rPr>
                <w:rFonts w:eastAsia="Segoe UI"/>
                <w:kern w:val="2"/>
                <w:lang w:val="fr-FR"/>
              </w:rPr>
              <w:t>ficacité des interventions.</w:t>
            </w:r>
          </w:p>
          <w:p w14:paraId="7D3A8643" w14:textId="77777777" w:rsidR="001B58C7" w:rsidRPr="00ED3A8A" w:rsidRDefault="000F0E0E">
            <w:pPr>
              <w:pStyle w:val="NormalWeb"/>
              <w:spacing w:after="160" w:line="200" w:lineRule="atLeast"/>
              <w:jc w:val="both"/>
              <w:rPr>
                <w:kern w:val="2"/>
                <w:lang w:val="fr-FR"/>
              </w:rPr>
            </w:pPr>
            <w:r w:rsidRPr="00ED3A8A">
              <w:rPr>
                <w:rFonts w:eastAsia="Segoe UI"/>
                <w:kern w:val="2"/>
                <w:lang w:val="fr-FR"/>
              </w:rPr>
              <w:t xml:space="preserve">Les </w:t>
            </w:r>
            <w:r w:rsidRPr="00ED3A8A">
              <w:rPr>
                <w:rStyle w:val="lev"/>
                <w:rFonts w:eastAsia="Segoe UI"/>
                <w:kern w:val="2"/>
                <w:lang w:val="fr-FR"/>
              </w:rPr>
              <w:t>orientations issues de ces réunions techniques ont été consolidées et portées au niveau stratégique</w:t>
            </w:r>
            <w:r w:rsidRPr="00ED3A8A">
              <w:rPr>
                <w:rFonts w:eastAsia="Segoe UI"/>
                <w:kern w:val="2"/>
                <w:lang w:val="fr-FR"/>
              </w:rPr>
              <w:t xml:space="preserve">, en étant transmises et discutées lors de la réunion du COPIL du 12 juin 2026. Cette dynamique illustre la complémentarité fonctionnelle entre les deux instances : le </w:t>
            </w:r>
            <w:r>
              <w:rPr>
                <w:rFonts w:eastAsia="Segoe UI"/>
                <w:kern w:val="2"/>
                <w:lang w:val="fr-FR"/>
              </w:rPr>
              <w:t>comité technique provincial (CTP ou COTEC)</w:t>
            </w:r>
            <w:r w:rsidRPr="00ED3A8A">
              <w:rPr>
                <w:rFonts w:eastAsia="Segoe UI"/>
                <w:kern w:val="2"/>
                <w:lang w:val="fr-FR"/>
              </w:rPr>
              <w:t xml:space="preserve"> agit comme un organe d’analyse, de suivi et de préparation technique, tandis que le COPIL assure la validation, l’arbitrage et l’orientation stratégique. Ce lien organique garantit une prise de décision fondée sur les réalités opérationnelles du terrain et renforce la cohérence globale du pilotage du projet.</w:t>
            </w:r>
          </w:p>
          <w:p w14:paraId="493DB2B3" w14:textId="77777777" w:rsidR="001B58C7" w:rsidRPr="00ED3A8A" w:rsidRDefault="000F0E0E">
            <w:pPr>
              <w:pStyle w:val="NormalWeb"/>
              <w:spacing w:after="160" w:line="200" w:lineRule="atLeast"/>
              <w:jc w:val="both"/>
              <w:rPr>
                <w:kern w:val="2"/>
                <w:lang w:val="fr-FR"/>
              </w:rPr>
            </w:pPr>
            <w:r w:rsidRPr="00ED3A8A">
              <w:rPr>
                <w:rFonts w:eastAsia="Segoe UI"/>
                <w:kern w:val="2"/>
                <w:lang w:val="fr-FR"/>
              </w:rPr>
              <w:t xml:space="preserve">Par ailleurs, la gouvernance du projet est renforcée par l’organisation régulière de </w:t>
            </w:r>
            <w:r w:rsidRPr="00ED3A8A">
              <w:rPr>
                <w:rStyle w:val="lev"/>
                <w:rFonts w:eastAsia="Segoe UI"/>
                <w:kern w:val="2"/>
                <w:lang w:val="fr-FR"/>
              </w:rPr>
              <w:t>réunions du cadre de concertation</w:t>
            </w:r>
            <w:r w:rsidRPr="00ED3A8A">
              <w:rPr>
                <w:rFonts w:eastAsia="Segoe UI"/>
                <w:kern w:val="2"/>
                <w:lang w:val="fr-FR"/>
              </w:rPr>
              <w:t xml:space="preserve"> dans les deux provinces d’intervention (Kasaï et Kasaï Central). Ces cadres inclusifs rassemblent l’ensemble des parties prenantes – institutions publiques, acteurs judiciaires, organisations de la société civile, communautés locales et partenaires – et favorisent un dialogue continu sur les enjeux du projet. Ils contribuent à améliorer la coordination locale, à renforcer l’appropriation des actions par les acteurs concernés et à adapter les interventions aux dynamiques con</w:t>
            </w:r>
            <w:r w:rsidRPr="00ED3A8A">
              <w:rPr>
                <w:rFonts w:eastAsia="Segoe UI"/>
                <w:kern w:val="2"/>
                <w:lang w:val="fr-FR"/>
              </w:rPr>
              <w:t xml:space="preserve">textuelles. En complément, de </w:t>
            </w:r>
            <w:r w:rsidRPr="00ED3A8A">
              <w:rPr>
                <w:rStyle w:val="lev"/>
                <w:rFonts w:eastAsia="Segoe UI"/>
                <w:kern w:val="2"/>
                <w:lang w:val="fr-FR"/>
              </w:rPr>
              <w:t>nombreuses séances de travail ciblées</w:t>
            </w:r>
            <w:r w:rsidRPr="00ED3A8A">
              <w:rPr>
                <w:rFonts w:eastAsia="Segoe UI"/>
                <w:kern w:val="2"/>
                <w:lang w:val="fr-FR"/>
              </w:rPr>
              <w:t xml:space="preserve"> ont été menées avec les autorités provinciales </w:t>
            </w:r>
            <w:r w:rsidRPr="00ED3A8A">
              <w:rPr>
                <w:rFonts w:eastAsia="Segoe UI"/>
                <w:kern w:val="2"/>
                <w:lang w:val="fr-FR"/>
              </w:rPr>
              <w:lastRenderedPageBreak/>
              <w:t>et locales, permettant un suivi rapproché, une meilleure compréhension des enjeux institutionnels et un ancrage renforcé des activités dans les priorités locales.</w:t>
            </w:r>
          </w:p>
          <w:p w14:paraId="5EFD4854" w14:textId="77777777" w:rsidR="001B58C7" w:rsidRPr="00ED3A8A" w:rsidRDefault="000F0E0E">
            <w:pPr>
              <w:pStyle w:val="NormalWeb"/>
              <w:spacing w:after="160" w:line="200" w:lineRule="atLeast"/>
              <w:jc w:val="both"/>
              <w:rPr>
                <w:kern w:val="2"/>
                <w:lang w:val="fr-FR"/>
              </w:rPr>
            </w:pPr>
            <w:r w:rsidRPr="00ED3A8A">
              <w:rPr>
                <w:rFonts w:eastAsia="Segoe UI"/>
                <w:kern w:val="2"/>
                <w:lang w:val="fr-FR"/>
              </w:rPr>
              <w:t>Enfin, il convient de souligner que le COPIL du projet PROJUST s’inscrit dans l’architecture globale d</w:t>
            </w:r>
            <w:r>
              <w:rPr>
                <w:rFonts w:eastAsia="Segoe UI"/>
                <w:kern w:val="2"/>
                <w:lang w:val="fr-FR"/>
              </w:rPr>
              <w:t xml:space="preserve">u </w:t>
            </w:r>
            <w:r w:rsidRPr="00ED3A8A">
              <w:rPr>
                <w:rStyle w:val="lev"/>
                <w:rFonts w:eastAsia="Segoe UI"/>
                <w:kern w:val="2"/>
                <w:lang w:val="fr-FR"/>
              </w:rPr>
              <w:t>Programme conjoint</w:t>
            </w:r>
            <w:r>
              <w:rPr>
                <w:rStyle w:val="lev"/>
                <w:rFonts w:eastAsia="Segoe UI"/>
                <w:kern w:val="2"/>
                <w:lang w:val="fr-FR"/>
              </w:rPr>
              <w:t xml:space="preserve"> des nations unies d’appui à la réforme de la justice 2020-2024 et 2025-2029</w:t>
            </w:r>
            <w:r w:rsidRPr="00ED3A8A">
              <w:rPr>
                <w:rFonts w:eastAsia="Segoe UI"/>
                <w:kern w:val="2"/>
                <w:lang w:val="fr-FR"/>
              </w:rPr>
              <w:t>. Le projet PROJUST constitue une composante spécifique de ce programme, axée sur la justice transitionnelle et la consolidation de la paix dans le Grand Kasaï, conformément aux dispositions décrites en annexe du PRODOC. À ce titre, le COPIL veille à assurer l’alignement stratégique du projet avec les objectifs du programme conjoint, tout en tenant compte des spécificités thématiques et territoriales propres à PROJUST.</w:t>
            </w:r>
          </w:p>
          <w:p w14:paraId="35CCAD69" w14:textId="77777777" w:rsidR="001B58C7" w:rsidRDefault="000F0E0E">
            <w:pPr>
              <w:pStyle w:val="NormalWeb"/>
              <w:spacing w:after="160" w:line="200" w:lineRule="atLeast"/>
              <w:jc w:val="both"/>
              <w:rPr>
                <w:rFonts w:asciiTheme="majorBidi" w:hAnsiTheme="majorBidi" w:cstheme="majorBidi"/>
                <w:kern w:val="2"/>
                <w:lang w:val="fr-FR"/>
              </w:rPr>
            </w:pPr>
            <w:r w:rsidRPr="00ED3A8A">
              <w:rPr>
                <w:rFonts w:eastAsia="Segoe UI"/>
                <w:kern w:val="2"/>
                <w:lang w:val="fr-FR"/>
              </w:rPr>
              <w:t>Dans l’ensemble, cette architecture de gouvernance multi</w:t>
            </w:r>
            <w:r>
              <w:rPr>
                <w:rFonts w:eastAsia="Segoe UI"/>
                <w:kern w:val="2"/>
                <w:lang w:val="fr-FR"/>
              </w:rPr>
              <w:t>-</w:t>
            </w:r>
            <w:r w:rsidRPr="00ED3A8A">
              <w:rPr>
                <w:rFonts w:eastAsia="Segoe UI"/>
                <w:kern w:val="2"/>
                <w:lang w:val="fr-FR"/>
              </w:rPr>
              <w:t>niveaux – combinant instances stratégiques, mécanismes techniques et cadres de concertation – contribue à renforcer la cohérence, la redevabilité et l’efficacité de la mise en œuvre du projet, ainsi que l’implication active des autorités et des communautés bénéficiaires</w:t>
            </w:r>
            <w:r>
              <w:rPr>
                <w:rFonts w:eastAsia="Segoe UI"/>
                <w:kern w:val="2"/>
                <w:lang w:val="fr-FR"/>
              </w:rPr>
              <w:t>.</w:t>
            </w:r>
          </w:p>
          <w:p w14:paraId="08256865" w14:textId="77777777" w:rsidR="001B58C7" w:rsidRDefault="000F0E0E">
            <w:pPr>
              <w:pStyle w:val="Paragraphedeliste"/>
              <w:spacing w:after="160" w:line="276" w:lineRule="auto"/>
              <w:ind w:left="0"/>
              <w:jc w:val="both"/>
              <w:rPr>
                <w:i/>
                <w:iCs/>
                <w:kern w:val="2"/>
                <w:lang w:val="fr-FR"/>
              </w:rPr>
            </w:pPr>
            <w:r>
              <w:rPr>
                <w:rFonts w:asciiTheme="majorBidi" w:hAnsiTheme="majorBidi" w:cstheme="majorBidi"/>
                <w:i/>
                <w:iCs/>
                <w:kern w:val="2"/>
                <w:lang w:val="fr-FR"/>
              </w:rPr>
              <w:t>Veuillez fournir une brève description des interactions du projet auprès du gouvernement. Merci de préciser les niveaux de gouvernement avec lesquels le projet a interagi</w:t>
            </w:r>
            <w:r>
              <w:rPr>
                <w:rFonts w:asciiTheme="majorBidi" w:hAnsiTheme="majorBidi" w:cstheme="majorBidi"/>
                <w:kern w:val="2"/>
                <w:lang w:val="fr-FR"/>
              </w:rPr>
              <w:t xml:space="preserve"> </w:t>
            </w:r>
            <w:r>
              <w:rPr>
                <w:i/>
                <w:iCs/>
                <w:kern w:val="2"/>
                <w:lang w:val="fr-FR"/>
              </w:rPr>
              <w:t>(3000 caractères).</w:t>
            </w:r>
          </w:p>
          <w:p w14:paraId="1E22969A" w14:textId="77777777" w:rsidR="001B58C7" w:rsidRPr="00ED3A8A" w:rsidRDefault="000F0E0E">
            <w:pPr>
              <w:pStyle w:val="NormalWeb"/>
              <w:spacing w:after="160" w:line="200" w:lineRule="atLeast"/>
              <w:jc w:val="both"/>
              <w:rPr>
                <w:kern w:val="2"/>
                <w:lang w:val="fr-FR"/>
              </w:rPr>
            </w:pPr>
            <w:r w:rsidRPr="00ED3A8A">
              <w:rPr>
                <w:rFonts w:eastAsia="Segoe UI"/>
                <w:kern w:val="2"/>
                <w:lang w:val="fr-FR"/>
              </w:rPr>
              <w:t xml:space="preserve">Le projet PROJUST a </w:t>
            </w:r>
            <w:r w:rsidRPr="00ED3A8A">
              <w:rPr>
                <w:rFonts w:eastAsia="Segoe UI"/>
                <w:kern w:val="2"/>
                <w:lang w:val="fr-FR"/>
              </w:rPr>
              <w:t xml:space="preserve">entretenu des interactions étroites, régulières et structurées avec les institutions publiques de la République Démocratique du Congo, selon </w:t>
            </w:r>
            <w:proofErr w:type="gramStart"/>
            <w:r w:rsidRPr="00ED3A8A">
              <w:rPr>
                <w:rFonts w:eastAsia="Segoe UI"/>
                <w:kern w:val="2"/>
                <w:lang w:val="fr-FR"/>
              </w:rPr>
              <w:t>une approche multi-niveaux</w:t>
            </w:r>
            <w:proofErr w:type="gramEnd"/>
            <w:r w:rsidRPr="00ED3A8A">
              <w:rPr>
                <w:rFonts w:eastAsia="Segoe UI"/>
                <w:kern w:val="2"/>
                <w:lang w:val="fr-FR"/>
              </w:rPr>
              <w:t xml:space="preserve"> visant à renforcer l’appropriation institutionnelle, la coordination entre acteurs et la durabilité des résultats.</w:t>
            </w:r>
          </w:p>
          <w:p w14:paraId="2FF8565B" w14:textId="77777777" w:rsidR="001B58C7" w:rsidRPr="00ED3A8A" w:rsidRDefault="000F0E0E">
            <w:pPr>
              <w:pStyle w:val="NormalWeb"/>
              <w:spacing w:after="160" w:line="200" w:lineRule="atLeast"/>
              <w:jc w:val="both"/>
              <w:rPr>
                <w:kern w:val="2"/>
                <w:lang w:val="fr-FR"/>
              </w:rPr>
            </w:pPr>
            <w:r w:rsidRPr="00ED3A8A">
              <w:rPr>
                <w:rFonts w:eastAsia="Segoe UI"/>
                <w:kern w:val="2"/>
                <w:lang w:val="fr-FR"/>
              </w:rPr>
              <w:t>Au niveau provincial, les principaux cadres d’interaction ont été les Comités Techniques Provinciaux organisés à Tshikapa (5–6 mars 2026) et à Kananga (12–13 mars 2026). Ces rencontres ont mobilisé les Gouvernements provinciaux, notamment les Ministres sectoriels en charge de la Justice, de l’Intérieur, du Genre et des Affaires sociales, ainsi que les autorités politico-administratives et les institutions judiciaires. Elles ont permis d’examiner la mise en œuvre du Plan de Travail Annuel (PTA) 2025, d’ident</w:t>
            </w:r>
            <w:r w:rsidRPr="00ED3A8A">
              <w:rPr>
                <w:rFonts w:eastAsia="Segoe UI"/>
                <w:kern w:val="2"/>
                <w:lang w:val="fr-FR"/>
              </w:rPr>
              <w:t>ifier les contraintes opérationnelles, de capitaliser les leçons apprises et de valider de manière concertée les priorités du PTA 2026. Ces échanges ont contribué à renforcer l’alignement du projet avec les priorités provinciales en matière de justice, de cohésion sociale, de protection et de prévention des conflits.</w:t>
            </w:r>
          </w:p>
          <w:p w14:paraId="6515B4AD" w14:textId="77777777" w:rsidR="001B58C7" w:rsidRPr="00ED3A8A" w:rsidRDefault="000F0E0E">
            <w:pPr>
              <w:pStyle w:val="NormalWeb"/>
              <w:spacing w:after="160" w:line="200" w:lineRule="atLeast"/>
              <w:jc w:val="both"/>
              <w:rPr>
                <w:kern w:val="2"/>
                <w:lang w:val="fr-FR"/>
              </w:rPr>
            </w:pPr>
            <w:r w:rsidRPr="00ED3A8A">
              <w:rPr>
                <w:rFonts w:eastAsia="Segoe UI"/>
                <w:kern w:val="2"/>
                <w:lang w:val="fr-FR"/>
              </w:rPr>
              <w:t>Ces interactions ont été consolidées lors de la mission conjointe de suivi du projet conduite du 15 au 23 mai 2026 par le Secrétariat du Peacebuilding Fund (S</w:t>
            </w:r>
            <w:r w:rsidRPr="00ED3A8A">
              <w:rPr>
                <w:rFonts w:eastAsia="Segoe UI"/>
                <w:kern w:val="2"/>
                <w:lang w:val="fr-FR"/>
              </w:rPr>
              <w:noBreakHyphen/>
              <w:t>PBF) et la partie nationale venue de Kinshasa. À cette occasion, deux équipes mixtes ont tenu des séances de travail avec les Gouverneurs des provinces du Kasaï et du Kasaï Central, en présence des Ministres provinciaux du Plan et des Droits humains. Ces réunions ont permis un examen approfondi des performances du projet, incluant l’analyse des principales réalisations, des contraintes et des faiblesses observées, ainsi que la formulation de recommandations stratégiques par les autorités provinciales en vu</w:t>
            </w:r>
            <w:r w:rsidRPr="00ED3A8A">
              <w:rPr>
                <w:rFonts w:eastAsia="Segoe UI"/>
                <w:kern w:val="2"/>
                <w:lang w:val="fr-FR"/>
              </w:rPr>
              <w:t>e d’améliorer l’efficacité, la redevabilité et l’impact des interventions.</w:t>
            </w:r>
          </w:p>
          <w:p w14:paraId="0CC145F7" w14:textId="77777777" w:rsidR="001B58C7" w:rsidRPr="00ED3A8A" w:rsidRDefault="000F0E0E">
            <w:pPr>
              <w:pStyle w:val="NormalWeb"/>
              <w:spacing w:after="160" w:line="200" w:lineRule="atLeast"/>
              <w:jc w:val="both"/>
              <w:rPr>
                <w:kern w:val="2"/>
                <w:lang w:val="fr-FR"/>
              </w:rPr>
            </w:pPr>
            <w:r w:rsidRPr="00ED3A8A">
              <w:rPr>
                <w:rFonts w:eastAsia="Segoe UI"/>
                <w:kern w:val="2"/>
                <w:lang w:val="fr-FR"/>
              </w:rPr>
              <w:t>Par ailleurs, la mission de suivi de mai 2026 a donné lieu à de nombreuses interactions sectorielles avec les partenaires étatiques et non étatiques impliqués dans la mise en œuvre des différents axes du projet, notamment à Kananga, Tshikapa, Tshimbulu (territoire de Dibaya) et jusqu’au village de Kamwina Nsapu. Ces visites de terrain ont permis d’apprécier de manière concrète les résultats atteints, y compris les acquis des projets antérieurs du PBF, de recueillir les perceptions des bénéficiaires et de re</w:t>
            </w:r>
            <w:r w:rsidRPr="00ED3A8A">
              <w:rPr>
                <w:rFonts w:eastAsia="Segoe UI"/>
                <w:kern w:val="2"/>
                <w:lang w:val="fr-FR"/>
              </w:rPr>
              <w:t>nforcer les synergies entre acteurs locaux.</w:t>
            </w:r>
          </w:p>
          <w:p w14:paraId="6DA5C488" w14:textId="77777777" w:rsidR="001B58C7" w:rsidRPr="00ED3A8A" w:rsidRDefault="000F0E0E">
            <w:pPr>
              <w:pStyle w:val="NormalWeb"/>
              <w:spacing w:after="160" w:line="200" w:lineRule="atLeast"/>
              <w:jc w:val="both"/>
              <w:rPr>
                <w:kern w:val="2"/>
                <w:lang w:val="fr-FR"/>
              </w:rPr>
            </w:pPr>
            <w:r w:rsidRPr="00ED3A8A">
              <w:rPr>
                <w:rFonts w:eastAsia="Segoe UI"/>
                <w:kern w:val="2"/>
                <w:lang w:val="fr-FR"/>
              </w:rPr>
              <w:lastRenderedPageBreak/>
              <w:t>Au niveau judiciaire, PROJUST a collaboré avec les juridictions civiles et militaires, les parquets, les barreaux du Kasaï et du Kasaï Central, ainsi qu’avec le Tribunal militaire de Tshikapa. Cette collaboration s’est traduite par l’appui aux audiences foraines, le renforcement des capacités des magistrats, avocats et autres acteurs judiciaires, ainsi que leur participation aux cadres de concertation. Ces interactions ont contribué à améliorer la coordination de la chaîne pénale, à faciliter l’accès à la j</w:t>
            </w:r>
            <w:r w:rsidRPr="00ED3A8A">
              <w:rPr>
                <w:rFonts w:eastAsia="Segoe UI"/>
                <w:kern w:val="2"/>
                <w:lang w:val="fr-FR"/>
              </w:rPr>
              <w:t>ustice pour les populations vulnérables et à renforcer l’intégration des standards relatifs aux droits humains.</w:t>
            </w:r>
          </w:p>
          <w:p w14:paraId="0B719144" w14:textId="77777777" w:rsidR="001B58C7" w:rsidRPr="00ED3A8A" w:rsidRDefault="000F0E0E">
            <w:pPr>
              <w:pStyle w:val="NormalWeb"/>
              <w:spacing w:after="160" w:line="200" w:lineRule="atLeast"/>
              <w:jc w:val="both"/>
              <w:rPr>
                <w:kern w:val="2"/>
                <w:lang w:val="fr-FR"/>
              </w:rPr>
            </w:pPr>
            <w:r w:rsidRPr="00ED3A8A">
              <w:rPr>
                <w:rFonts w:eastAsia="Segoe UI"/>
                <w:kern w:val="2"/>
                <w:lang w:val="fr-FR"/>
              </w:rPr>
              <w:t>Au niveau des services techniques déconcentrés de l’État, le projet a travaillé avec les divisions provinciales en charge de l’Intérieur, des Affaires coutumières, foncières, sociales et du Genre, ainsi qu’avec certains services de sécurité et de migration. Ces collaborations ont permis de renforcer les capacités locales en matière de prévention et de gestion des conflits, de monitoring de protection, de gestion des dynamiques communautaires et de coordination interinstitutionnelle.</w:t>
            </w:r>
          </w:p>
          <w:p w14:paraId="1EDE9AEC" w14:textId="77777777" w:rsidR="001B58C7" w:rsidRPr="00ED3A8A" w:rsidRDefault="000F0E0E">
            <w:pPr>
              <w:pStyle w:val="NormalWeb"/>
              <w:spacing w:after="160" w:line="200" w:lineRule="atLeast"/>
              <w:jc w:val="both"/>
              <w:rPr>
                <w:kern w:val="2"/>
                <w:lang w:val="fr-FR"/>
              </w:rPr>
            </w:pPr>
            <w:r w:rsidRPr="00ED3A8A">
              <w:rPr>
                <w:rFonts w:eastAsia="Segoe UI"/>
                <w:kern w:val="2"/>
                <w:lang w:val="fr-FR"/>
              </w:rPr>
              <w:t>Le projet a également soutenu l’implication des autorités publiques dans les processus de justice transitionnelle, notamment à travers leur participation aux activités de la Commission Provinciale Vérité, Justice et Réconciliation (CPVJR) et à la validation des consultations provinciales dans le Kasaï. Cette implication a contribué à renforcer la légitimité institutionnelle, l’ancrage local et l’acceptabilité des mécanismes mis en place.</w:t>
            </w:r>
          </w:p>
          <w:p w14:paraId="5CEA1292" w14:textId="77777777" w:rsidR="001B58C7" w:rsidRPr="00ED3A8A" w:rsidRDefault="000F0E0E">
            <w:pPr>
              <w:pStyle w:val="NormalWeb"/>
              <w:spacing w:after="160" w:line="200" w:lineRule="atLeast"/>
              <w:jc w:val="both"/>
              <w:rPr>
                <w:kern w:val="2"/>
                <w:lang w:val="fr-FR"/>
              </w:rPr>
            </w:pPr>
            <w:r w:rsidRPr="00ED3A8A">
              <w:rPr>
                <w:rFonts w:eastAsia="Segoe UI"/>
                <w:kern w:val="2"/>
                <w:lang w:val="fr-FR"/>
              </w:rPr>
              <w:t xml:space="preserve">Au niveau national, PROJUST entretient des interactions structurées avec le </w:t>
            </w:r>
            <w:proofErr w:type="gramStart"/>
            <w:r w:rsidRPr="00ED3A8A">
              <w:rPr>
                <w:rFonts w:eastAsia="Segoe UI"/>
                <w:kern w:val="2"/>
                <w:lang w:val="fr-FR"/>
              </w:rPr>
              <w:t>Ministère</w:t>
            </w:r>
            <w:proofErr w:type="gramEnd"/>
            <w:r w:rsidRPr="00ED3A8A">
              <w:rPr>
                <w:rFonts w:eastAsia="Segoe UI"/>
                <w:kern w:val="2"/>
                <w:lang w:val="fr-FR"/>
              </w:rPr>
              <w:t xml:space="preserve"> de la Justice ainsi qu’avec d’autres ministères sectoriels impliqués, en cohérence avec le Programme conjoint d’appui à la réforme de la justice 2025–2029, coordonné par le PNUD. Ces échanges techniques contribuent à assurer la cohérence des interventions avec les orientations nationales, à alimenter les processus de réforme et à valoriser les enseignements tirés du terrain. </w:t>
            </w:r>
            <w:r w:rsidRPr="00ED3A8A">
              <w:rPr>
                <w:rStyle w:val="lev"/>
                <w:rFonts w:eastAsia="Segoe UI"/>
                <w:kern w:val="2"/>
                <w:lang w:val="fr-FR"/>
              </w:rPr>
              <w:t>Impact concret :</w:t>
            </w:r>
            <w:r w:rsidRPr="00ED3A8A">
              <w:rPr>
                <w:rFonts w:eastAsia="Segoe UI"/>
                <w:kern w:val="2"/>
                <w:lang w:val="fr-FR"/>
              </w:rPr>
              <w:t xml:space="preserve"> amélioration de l’articulation entre les niveaux central et provincial, contribution aux dynamiques nationa</w:t>
            </w:r>
            <w:r w:rsidRPr="00ED3A8A">
              <w:rPr>
                <w:rFonts w:eastAsia="Segoe UI"/>
                <w:kern w:val="2"/>
                <w:lang w:val="fr-FR"/>
              </w:rPr>
              <w:t>les de réforme du secteur de la justice et renforcement de la complémentarité entre acteurs institutionnels et partenaires.</w:t>
            </w:r>
          </w:p>
          <w:p w14:paraId="1AD745C8" w14:textId="77777777" w:rsidR="001B58C7" w:rsidRPr="00ED3A8A" w:rsidRDefault="000F0E0E">
            <w:pPr>
              <w:pStyle w:val="NormalWeb"/>
              <w:spacing w:after="160" w:line="200" w:lineRule="atLeast"/>
              <w:jc w:val="both"/>
              <w:rPr>
                <w:kern w:val="2"/>
                <w:lang w:val="fr-FR"/>
              </w:rPr>
            </w:pPr>
            <w:r w:rsidRPr="00ED3A8A">
              <w:rPr>
                <w:rFonts w:eastAsia="Segoe UI"/>
                <w:kern w:val="2"/>
                <w:lang w:val="fr-FR"/>
              </w:rPr>
              <w:t>Enfin, PROJUST s’inscrit dans les priorités de l’État congolais relatives à la lutte contre l’impunité, à la réforme du secteur de la justice, à la consolidation de la paix et à la protection des droits humains. Dans l’ensemble, ces interactions multi-niveaux ont permis de consolider une dynamique de partenariat entre institutions publiques, acteurs judiciaires, services techniques et partenaires, renforçant ainsi les bases d’une réponse institutionnelle plus coordonnée, inclusive et durable dans les provin</w:t>
            </w:r>
            <w:r w:rsidRPr="00ED3A8A">
              <w:rPr>
                <w:rFonts w:eastAsia="Segoe UI"/>
                <w:kern w:val="2"/>
                <w:lang w:val="fr-FR"/>
              </w:rPr>
              <w:t>ces ciblées</w:t>
            </w:r>
          </w:p>
          <w:p w14:paraId="4F9CBBDC" w14:textId="77777777" w:rsidR="001B58C7" w:rsidRDefault="000F0E0E">
            <w:pPr>
              <w:pStyle w:val="Paragraphedeliste"/>
              <w:spacing w:after="160" w:line="276" w:lineRule="auto"/>
              <w:jc w:val="both"/>
              <w:rPr>
                <w:b/>
                <w:bCs/>
                <w:iCs/>
                <w:kern w:val="2"/>
                <w:lang w:val="fr-FR"/>
              </w:rPr>
            </w:pPr>
            <w:r>
              <w:rPr>
                <w:rFonts w:asciiTheme="majorBidi" w:hAnsiTheme="majorBidi" w:cstheme="majorBidi"/>
                <w:kern w:val="2"/>
                <w:lang w:val="fr-FR"/>
              </w:rPr>
              <w:t xml:space="preserve">                                                                                                             </w:t>
            </w:r>
          </w:p>
        </w:tc>
      </w:tr>
      <w:tr w:rsidR="001B58C7" w:rsidRPr="00ED3A8A" w14:paraId="745D52A4" w14:textId="77777777">
        <w:trPr>
          <w:trHeight w:val="701"/>
        </w:trPr>
        <w:tc>
          <w:tcPr>
            <w:tcW w:w="10036" w:type="dxa"/>
            <w:gridSpan w:val="2"/>
          </w:tcPr>
          <w:p w14:paraId="03381E6F" w14:textId="77777777" w:rsidR="001B58C7" w:rsidRDefault="000F0E0E">
            <w:pPr>
              <w:spacing w:after="160" w:line="276" w:lineRule="auto"/>
              <w:rPr>
                <w:b/>
                <w:bCs/>
                <w:kern w:val="2"/>
                <w:sz w:val="22"/>
                <w:lang w:val="fr-FR"/>
              </w:rPr>
            </w:pPr>
            <w:r>
              <w:rPr>
                <w:b/>
                <w:bCs/>
                <w:kern w:val="2"/>
                <w:sz w:val="22"/>
                <w:lang w:val="fr-FR"/>
              </w:rPr>
              <w:lastRenderedPageBreak/>
              <w:t>Préparation du rapport :</w:t>
            </w:r>
          </w:p>
          <w:p w14:paraId="1AF429D2" w14:textId="77777777" w:rsidR="001B58C7" w:rsidRDefault="000F0E0E">
            <w:pPr>
              <w:spacing w:after="160" w:line="276" w:lineRule="auto"/>
              <w:rPr>
                <w:b/>
                <w:bCs/>
                <w:kern w:val="2"/>
                <w:lang w:val="fr-FR"/>
              </w:rPr>
            </w:pPr>
            <w:r>
              <w:rPr>
                <w:kern w:val="2"/>
                <w:lang w:val="fr-FR"/>
              </w:rPr>
              <w:t xml:space="preserve">Rapport préparé par : </w:t>
            </w:r>
            <w:r>
              <w:rPr>
                <w:b/>
                <w:bCs/>
                <w:kern w:val="2"/>
                <w:lang w:val="fr-FR"/>
              </w:rPr>
              <w:t>Alain KATETA BWANGA BHIAY</w:t>
            </w:r>
          </w:p>
          <w:p w14:paraId="23F51830" w14:textId="77777777" w:rsidR="001B58C7" w:rsidRDefault="000F0E0E">
            <w:pPr>
              <w:spacing w:after="160" w:line="276" w:lineRule="auto"/>
              <w:rPr>
                <w:kern w:val="2"/>
                <w:lang w:val="fr-FR"/>
              </w:rPr>
            </w:pPr>
            <w:r>
              <w:rPr>
                <w:kern w:val="2"/>
                <w:lang w:val="fr-FR"/>
              </w:rPr>
              <w:t xml:space="preserve">Email : </w:t>
            </w:r>
            <w:r>
              <w:rPr>
                <w:b/>
                <w:iCs/>
                <w:snapToGrid w:val="0"/>
                <w:kern w:val="2"/>
                <w:lang w:val="fr-FR"/>
              </w:rPr>
              <w:t>alain.kateta@undp.org</w:t>
            </w:r>
          </w:p>
          <w:p w14:paraId="0CADAB14" w14:textId="77777777" w:rsidR="001B58C7" w:rsidRDefault="000F0E0E">
            <w:pPr>
              <w:spacing w:after="160" w:line="276" w:lineRule="auto"/>
              <w:rPr>
                <w:b/>
                <w:bCs/>
                <w:kern w:val="2"/>
                <w:lang w:val="fr-FR"/>
              </w:rPr>
            </w:pPr>
            <w:r>
              <w:rPr>
                <w:kern w:val="2"/>
                <w:lang w:val="fr-FR"/>
              </w:rPr>
              <w:t xml:space="preserve">Rapport approuvé par : </w:t>
            </w:r>
            <w:proofErr w:type="gramStart"/>
            <w:r>
              <w:rPr>
                <w:b/>
                <w:bCs/>
                <w:kern w:val="2"/>
                <w:lang w:val="fr-FR"/>
              </w:rPr>
              <w:t>Partenariat  PNUD</w:t>
            </w:r>
            <w:proofErr w:type="gramEnd"/>
            <w:r>
              <w:rPr>
                <w:b/>
                <w:bCs/>
                <w:kern w:val="2"/>
                <w:lang w:val="fr-FR"/>
              </w:rPr>
              <w:t xml:space="preserve"> Kinshasa.</w:t>
            </w:r>
          </w:p>
          <w:p w14:paraId="7D88D63C" w14:textId="77777777" w:rsidR="001B58C7" w:rsidRDefault="000F0E0E">
            <w:pPr>
              <w:spacing w:after="160" w:line="276" w:lineRule="auto"/>
              <w:rPr>
                <w:kern w:val="2"/>
                <w:lang w:val="fr-FR"/>
              </w:rPr>
            </w:pPr>
            <w:r>
              <w:rPr>
                <w:kern w:val="2"/>
                <w:lang w:val="fr-FR"/>
              </w:rPr>
              <w:t>Tous les bénéficiaires de ce projet ont-ils contribué au rapport ?</w:t>
            </w:r>
            <w:r>
              <w:rPr>
                <w:kern w:val="2"/>
                <w:lang w:val="fr-FR"/>
              </w:rPr>
              <w:fldChar w:fldCharType="begin"/>
            </w:r>
            <w:r>
              <w:rPr>
                <w:kern w:val="2"/>
                <w:lang w:val="fr-FR"/>
              </w:rPr>
              <w:instrText xml:space="preserve"> FORMDROPDOWN </w:instrText>
            </w:r>
            <w:r>
              <w:rPr>
                <w:kern w:val="2"/>
                <w:lang w:val="fr-FR"/>
              </w:rPr>
              <w:fldChar w:fldCharType="separate"/>
            </w:r>
            <w:r>
              <w:rPr>
                <w:kern w:val="2"/>
                <w:lang w:val="fr-FR"/>
              </w:rPr>
              <w:fldChar w:fldCharType="end"/>
            </w:r>
            <w:r>
              <w:rPr>
                <w:kern w:val="2"/>
                <w:lang w:val="fr-FR"/>
              </w:rPr>
              <w:t xml:space="preserve"> </w:t>
            </w:r>
            <w:r>
              <w:rPr>
                <w:b/>
                <w:bCs/>
                <w:kern w:val="2"/>
                <w:lang w:val="fr-FR"/>
              </w:rPr>
              <w:t>OUI.</w:t>
            </w:r>
          </w:p>
          <w:p w14:paraId="058FAFF1" w14:textId="77777777" w:rsidR="001B58C7" w:rsidRDefault="000F0E0E">
            <w:pPr>
              <w:spacing w:after="160" w:line="276" w:lineRule="auto"/>
              <w:rPr>
                <w:kern w:val="2"/>
                <w:lang w:val="fr-FR"/>
              </w:rPr>
            </w:pPr>
            <w:r>
              <w:rPr>
                <w:kern w:val="2"/>
                <w:lang w:val="fr-FR"/>
              </w:rPr>
              <w:t>Le Secrétariat PBF ou point focal auprès du Bureau du Coordonnateur Résident a-t-il revu le rapport</w:t>
            </w:r>
            <w:r>
              <w:rPr>
                <w:kern w:val="2"/>
                <w:sz w:val="22"/>
                <w:szCs w:val="22"/>
                <w:lang w:val="fr-FR"/>
              </w:rPr>
              <w:t xml:space="preserve"> : </w:t>
            </w:r>
            <w:r>
              <w:rPr>
                <w:b/>
                <w:bCs/>
                <w:kern w:val="2"/>
                <w:sz w:val="22"/>
                <w:szCs w:val="22"/>
                <w:lang w:val="fr-FR"/>
              </w:rPr>
              <w:t>OUI.</w:t>
            </w:r>
          </w:p>
        </w:tc>
      </w:tr>
    </w:tbl>
    <w:p w14:paraId="3B385038" w14:textId="77777777" w:rsidR="001B58C7" w:rsidRDefault="001B58C7">
      <w:pPr>
        <w:jc w:val="both"/>
        <w:rPr>
          <w:b/>
          <w:i/>
          <w:iCs/>
          <w:lang w:val="fr-FR"/>
        </w:rPr>
      </w:pPr>
    </w:p>
    <w:p w14:paraId="7A6A4AE2" w14:textId="77777777" w:rsidR="001B58C7" w:rsidRDefault="000F0E0E">
      <w:pPr>
        <w:jc w:val="both"/>
        <w:rPr>
          <w:b/>
          <w:i/>
          <w:iCs/>
          <w:lang w:val="fr-FR"/>
        </w:rPr>
      </w:pPr>
      <w:r>
        <w:rPr>
          <w:b/>
          <w:i/>
          <w:iCs/>
          <w:lang w:val="fr-FR"/>
        </w:rPr>
        <w:t>NOTES POUR REMPLIR LE RAPPORT :</w:t>
      </w:r>
    </w:p>
    <w:p w14:paraId="5AC7B86F" w14:textId="77777777" w:rsidR="001B58C7" w:rsidRDefault="000F0E0E">
      <w:pPr>
        <w:ind w:left="-90" w:hanging="180"/>
        <w:jc w:val="both"/>
        <w:rPr>
          <w:i/>
          <w:iCs/>
          <w:lang w:val="fr-FR"/>
        </w:rPr>
      </w:pPr>
      <w:r>
        <w:rPr>
          <w:i/>
          <w:iCs/>
          <w:lang w:val="fr-FR"/>
        </w:rPr>
        <w:lastRenderedPageBreak/>
        <w:t>- Évitez les acronymes et le jargon des Nations Unies, utilisez un langage général / commun.</w:t>
      </w:r>
    </w:p>
    <w:p w14:paraId="3AFB6FBD" w14:textId="77777777" w:rsidR="001B58C7" w:rsidRDefault="000F0E0E">
      <w:pPr>
        <w:ind w:left="-90" w:hanging="180"/>
        <w:jc w:val="both"/>
        <w:rPr>
          <w:i/>
          <w:iCs/>
          <w:lang w:val="fr-FR"/>
        </w:rPr>
      </w:pPr>
      <w:r>
        <w:rPr>
          <w:i/>
          <w:iCs/>
          <w:lang w:val="fr-FR"/>
        </w:rPr>
        <w:t>- Décrivez ce que le projet a fait dans la période de rapport, plutôt que les intentions du projet.</w:t>
      </w:r>
    </w:p>
    <w:p w14:paraId="5AFA7156" w14:textId="77777777" w:rsidR="001B58C7" w:rsidRDefault="000F0E0E">
      <w:pPr>
        <w:ind w:left="-90" w:hanging="180"/>
        <w:jc w:val="both"/>
        <w:rPr>
          <w:i/>
          <w:iCs/>
          <w:lang w:val="fr-FR"/>
        </w:rPr>
      </w:pPr>
      <w:r>
        <w:rPr>
          <w:i/>
          <w:iCs/>
          <w:lang w:val="fr-FR"/>
        </w:rPr>
        <w:t>- Soyez aussi concret que possible. Évitez les discours théoriques, vagues ou conceptuels.</w:t>
      </w:r>
    </w:p>
    <w:p w14:paraId="54DADB9D" w14:textId="77777777" w:rsidR="001B58C7" w:rsidRDefault="000F0E0E">
      <w:pPr>
        <w:ind w:left="-90" w:hanging="180"/>
        <w:jc w:val="both"/>
        <w:rPr>
          <w:i/>
          <w:iCs/>
          <w:lang w:val="fr-FR"/>
        </w:rPr>
      </w:pPr>
      <w:r>
        <w:rPr>
          <w:i/>
          <w:iCs/>
          <w:lang w:val="fr-FR"/>
        </w:rPr>
        <w:t>- Veillez à ce que l'analyse et l'évaluation des progrès du projet tiennent compte des spécificités du sexe et de l'âge.</w:t>
      </w:r>
    </w:p>
    <w:p w14:paraId="6B27FB09" w14:textId="77777777" w:rsidR="001B58C7" w:rsidRDefault="000F0E0E">
      <w:pPr>
        <w:ind w:left="-90" w:hanging="180"/>
        <w:jc w:val="both"/>
        <w:rPr>
          <w:i/>
          <w:iCs/>
          <w:lang w:val="fr-FR"/>
        </w:rPr>
      </w:pPr>
      <w:r>
        <w:rPr>
          <w:i/>
          <w:iCs/>
          <w:lang w:val="fr-FR"/>
        </w:rPr>
        <w:t>- Dans le tableau de résultats, soyez concis : vous avez 3000 caractères, incluant les espaces pour vos réponses.</w:t>
      </w:r>
    </w:p>
    <w:p w14:paraId="77D682C6" w14:textId="77777777" w:rsidR="001B58C7" w:rsidRDefault="001B58C7">
      <w:pPr>
        <w:ind w:hanging="360"/>
        <w:jc w:val="both"/>
        <w:rPr>
          <w:i/>
          <w:iCs/>
          <w:lang w:val="fr-FR"/>
        </w:rPr>
      </w:pPr>
    </w:p>
    <w:p w14:paraId="7B63E587" w14:textId="77777777" w:rsidR="001B58C7" w:rsidRDefault="000F0E0E">
      <w:pPr>
        <w:ind w:hanging="360"/>
        <w:jc w:val="both"/>
        <w:rPr>
          <w:rFonts w:ascii="inherit" w:eastAsia="inherit" w:hAnsi="inherit" w:cs="inherit"/>
          <w:lang w:val="fr-FR"/>
        </w:rPr>
      </w:pPr>
      <w:r>
        <w:rPr>
          <w:b/>
          <w:bCs/>
          <w:u w:val="single"/>
          <w:lang w:val="fr-FR"/>
        </w:rPr>
        <w:t xml:space="preserve">PARTIE I : </w:t>
      </w:r>
      <w:r>
        <w:rPr>
          <w:rFonts w:ascii="inherit" w:eastAsia="inherit" w:hAnsi="inherit" w:cs="inherit"/>
          <w:b/>
          <w:bCs/>
          <w:u w:val="single"/>
          <w:lang w:val="fr-FR"/>
        </w:rPr>
        <w:t>AVANCEMENT GLOBAL DU PROJET</w:t>
      </w:r>
    </w:p>
    <w:p w14:paraId="42697922" w14:textId="77777777" w:rsidR="001B58C7" w:rsidRDefault="001B58C7">
      <w:pPr>
        <w:ind w:hanging="360"/>
        <w:jc w:val="both"/>
        <w:rPr>
          <w:i/>
          <w:iCs/>
          <w:lang w:val="fr-FR"/>
        </w:rPr>
      </w:pPr>
    </w:p>
    <w:p w14:paraId="6358E863" w14:textId="77777777" w:rsidR="001B58C7" w:rsidRDefault="000F0E0E">
      <w:pPr>
        <w:ind w:left="-360"/>
        <w:jc w:val="both"/>
        <w:rPr>
          <w:i/>
          <w:iCs/>
          <w:lang w:val="fr-FR"/>
        </w:rPr>
      </w:pPr>
      <w:r>
        <w:rPr>
          <w:i/>
          <w:iCs/>
          <w:lang w:val="fr-FR"/>
        </w:rPr>
        <w:t xml:space="preserve">Veuillez évaluer l'état d'avancement de la mise en œuvre des éléments </w:t>
      </w:r>
      <w:proofErr w:type="gramStart"/>
      <w:r>
        <w:rPr>
          <w:i/>
          <w:iCs/>
          <w:lang w:val="fr-FR"/>
        </w:rPr>
        <w:t>suivant:</w:t>
      </w:r>
      <w:proofErr w:type="gramEnd"/>
      <w:r>
        <w:rPr>
          <w:i/>
          <w:iCs/>
          <w:lang w:val="fr-FR"/>
        </w:rPr>
        <w:t xml:space="preserve"> (indiquez si l’activité est : ‘Pas commencé’, ‘commencé’, ‘partiellement complet’, ‘complété’, ‘pas applicable’)</w:t>
      </w:r>
    </w:p>
    <w:tbl>
      <w:tblPr>
        <w:tblW w:w="7560" w:type="dxa"/>
        <w:tblLook w:val="04A0" w:firstRow="1" w:lastRow="0" w:firstColumn="1" w:lastColumn="0" w:noHBand="0" w:noVBand="1"/>
      </w:tblPr>
      <w:tblGrid>
        <w:gridCol w:w="3780"/>
        <w:gridCol w:w="3780"/>
      </w:tblGrid>
      <w:tr w:rsidR="001B58C7" w14:paraId="49B00ACD" w14:textId="77777777">
        <w:trPr>
          <w:trHeight w:val="567"/>
        </w:trPr>
        <w:tc>
          <w:tcPr>
            <w:tcW w:w="3780" w:type="dxa"/>
            <w:tcBorders>
              <w:top w:val="nil"/>
              <w:left w:val="nil"/>
              <w:bottom w:val="nil"/>
              <w:right w:val="nil"/>
            </w:tcBorders>
            <w:noWrap/>
            <w:vAlign w:val="center"/>
          </w:tcPr>
          <w:p w14:paraId="64D81267" w14:textId="77777777" w:rsidR="001B58C7" w:rsidRDefault="000F0E0E">
            <w:pPr>
              <w:spacing w:after="160" w:line="276" w:lineRule="auto"/>
              <w:rPr>
                <w:rFonts w:asciiTheme="majorBidi" w:hAnsiTheme="majorBidi" w:cstheme="majorBidi"/>
                <w:color w:val="000000"/>
                <w:kern w:val="2"/>
                <w:sz w:val="22"/>
                <w:szCs w:val="22"/>
                <w:lang w:val="fr-FR" w:eastAsia="zh-CN"/>
              </w:rPr>
            </w:pPr>
            <w:r>
              <w:rPr>
                <w:rFonts w:asciiTheme="majorBidi" w:hAnsiTheme="majorBidi" w:cstheme="majorBidi"/>
                <w:color w:val="000000"/>
                <w:kern w:val="2"/>
                <w:sz w:val="22"/>
                <w:szCs w:val="22"/>
                <w:lang w:val="fr-FR" w:eastAsia="zh-CN"/>
              </w:rPr>
              <w:t>Contractualisation des partenaires</w:t>
            </w:r>
          </w:p>
        </w:tc>
        <w:tc>
          <w:tcPr>
            <w:tcW w:w="3780" w:type="dxa"/>
            <w:tcBorders>
              <w:top w:val="nil"/>
              <w:left w:val="nil"/>
              <w:bottom w:val="nil"/>
              <w:right w:val="nil"/>
            </w:tcBorders>
            <w:vAlign w:val="center"/>
          </w:tcPr>
          <w:p w14:paraId="5046DD99" w14:textId="77777777" w:rsidR="001B58C7" w:rsidRDefault="000F0E0E">
            <w:pPr>
              <w:spacing w:after="160" w:line="276" w:lineRule="auto"/>
              <w:ind w:hanging="360"/>
              <w:rPr>
                <w:b/>
                <w:bCs/>
                <w:i/>
                <w:iCs/>
                <w:kern w:val="2"/>
                <w:lang w:val="fr-FR" w:eastAsia="zh-CN"/>
              </w:rPr>
            </w:pPr>
            <w:proofErr w:type="gramStart"/>
            <w:r>
              <w:rPr>
                <w:b/>
                <w:bCs/>
                <w:i/>
                <w:iCs/>
                <w:kern w:val="2"/>
                <w:lang w:val="fr-FR" w:eastAsia="zh-CN"/>
              </w:rPr>
              <w:t>Pa  complété</w:t>
            </w:r>
            <w:proofErr w:type="gramEnd"/>
          </w:p>
        </w:tc>
      </w:tr>
      <w:tr w:rsidR="001B58C7" w14:paraId="751A6E80" w14:textId="77777777">
        <w:trPr>
          <w:trHeight w:val="567"/>
        </w:trPr>
        <w:tc>
          <w:tcPr>
            <w:tcW w:w="3780" w:type="dxa"/>
            <w:tcBorders>
              <w:top w:val="nil"/>
              <w:left w:val="nil"/>
              <w:bottom w:val="nil"/>
              <w:right w:val="nil"/>
            </w:tcBorders>
            <w:noWrap/>
            <w:vAlign w:val="center"/>
          </w:tcPr>
          <w:p w14:paraId="019B3A9C" w14:textId="77777777" w:rsidR="001B58C7" w:rsidRDefault="000F0E0E">
            <w:pPr>
              <w:spacing w:after="160" w:line="276" w:lineRule="auto"/>
              <w:rPr>
                <w:rFonts w:asciiTheme="majorBidi" w:hAnsiTheme="majorBidi" w:cstheme="majorBidi"/>
                <w:color w:val="000000"/>
                <w:kern w:val="2"/>
                <w:sz w:val="22"/>
                <w:szCs w:val="22"/>
                <w:lang w:val="fr-FR" w:eastAsia="zh-CN"/>
              </w:rPr>
            </w:pPr>
            <w:r>
              <w:rPr>
                <w:rFonts w:asciiTheme="majorBidi" w:hAnsiTheme="majorBidi" w:cstheme="majorBidi"/>
                <w:color w:val="000000"/>
                <w:kern w:val="2"/>
                <w:sz w:val="22"/>
                <w:szCs w:val="22"/>
                <w:lang w:val="fr-FR" w:eastAsia="zh-CN"/>
              </w:rPr>
              <w:t>Recrutement du personnel</w:t>
            </w:r>
          </w:p>
        </w:tc>
        <w:tc>
          <w:tcPr>
            <w:tcW w:w="3780" w:type="dxa"/>
            <w:tcBorders>
              <w:top w:val="nil"/>
              <w:left w:val="nil"/>
              <w:bottom w:val="nil"/>
              <w:right w:val="nil"/>
            </w:tcBorders>
            <w:vAlign w:val="center"/>
          </w:tcPr>
          <w:p w14:paraId="3B2427DF" w14:textId="77777777" w:rsidR="001B58C7" w:rsidRDefault="000F0E0E">
            <w:pPr>
              <w:spacing w:after="160" w:line="276" w:lineRule="auto"/>
              <w:rPr>
                <w:b/>
                <w:bCs/>
                <w:i/>
                <w:iCs/>
                <w:kern w:val="2"/>
                <w:lang w:val="fr-FR" w:eastAsia="zh-CN"/>
              </w:rPr>
            </w:pPr>
            <w:proofErr w:type="gramStart"/>
            <w:r>
              <w:rPr>
                <w:b/>
                <w:bCs/>
                <w:i/>
                <w:iCs/>
                <w:kern w:val="2"/>
                <w:lang w:val="fr-FR"/>
              </w:rPr>
              <w:t>complété</w:t>
            </w:r>
            <w:proofErr w:type="gramEnd"/>
            <w:r>
              <w:rPr>
                <w:b/>
                <w:bCs/>
                <w:i/>
                <w:iCs/>
                <w:kern w:val="2"/>
                <w:lang w:val="fr-FR"/>
              </w:rPr>
              <w:t xml:space="preserve"> </w:t>
            </w:r>
          </w:p>
        </w:tc>
      </w:tr>
      <w:tr w:rsidR="001B58C7" w14:paraId="25BD89F3" w14:textId="77777777">
        <w:trPr>
          <w:trHeight w:val="567"/>
        </w:trPr>
        <w:tc>
          <w:tcPr>
            <w:tcW w:w="3780" w:type="dxa"/>
            <w:tcBorders>
              <w:top w:val="nil"/>
              <w:left w:val="nil"/>
              <w:bottom w:val="nil"/>
              <w:right w:val="nil"/>
            </w:tcBorders>
            <w:noWrap/>
            <w:vAlign w:val="center"/>
          </w:tcPr>
          <w:p w14:paraId="120E1DAA" w14:textId="77777777" w:rsidR="001B58C7" w:rsidRDefault="000F0E0E">
            <w:pPr>
              <w:spacing w:after="160" w:line="276" w:lineRule="auto"/>
              <w:rPr>
                <w:rFonts w:asciiTheme="majorBidi" w:hAnsiTheme="majorBidi" w:cstheme="majorBidi"/>
                <w:color w:val="000000"/>
                <w:kern w:val="2"/>
                <w:sz w:val="22"/>
                <w:szCs w:val="22"/>
                <w:lang w:val="fr-FR" w:eastAsia="zh-CN"/>
              </w:rPr>
            </w:pPr>
            <w:r>
              <w:rPr>
                <w:rFonts w:asciiTheme="majorBidi" w:hAnsiTheme="majorBidi" w:cstheme="majorBidi"/>
                <w:color w:val="000000"/>
                <w:kern w:val="2"/>
                <w:sz w:val="22"/>
                <w:szCs w:val="22"/>
                <w:lang w:val="fr-FR" w:eastAsia="zh-CN"/>
              </w:rPr>
              <w:t>Collection des données de base</w:t>
            </w:r>
          </w:p>
        </w:tc>
        <w:tc>
          <w:tcPr>
            <w:tcW w:w="3780" w:type="dxa"/>
            <w:tcBorders>
              <w:top w:val="nil"/>
              <w:left w:val="nil"/>
              <w:bottom w:val="nil"/>
              <w:right w:val="nil"/>
            </w:tcBorders>
            <w:vAlign w:val="center"/>
          </w:tcPr>
          <w:p w14:paraId="4294AB4B" w14:textId="77777777" w:rsidR="001B58C7" w:rsidRDefault="000F0E0E">
            <w:pPr>
              <w:spacing w:after="160" w:line="276" w:lineRule="auto"/>
              <w:jc w:val="both"/>
              <w:rPr>
                <w:b/>
                <w:bCs/>
                <w:i/>
                <w:iCs/>
                <w:kern w:val="2"/>
                <w:lang w:val="fr-FR"/>
              </w:rPr>
            </w:pPr>
            <w:proofErr w:type="gramStart"/>
            <w:r>
              <w:rPr>
                <w:b/>
                <w:bCs/>
                <w:i/>
                <w:iCs/>
                <w:kern w:val="2"/>
                <w:lang w:val="fr-FR"/>
              </w:rPr>
              <w:t>pas</w:t>
            </w:r>
            <w:proofErr w:type="gramEnd"/>
            <w:r>
              <w:rPr>
                <w:b/>
                <w:bCs/>
                <w:i/>
                <w:iCs/>
                <w:kern w:val="2"/>
                <w:lang w:val="fr-FR"/>
              </w:rPr>
              <w:t xml:space="preserve"> applicable</w:t>
            </w:r>
          </w:p>
          <w:p w14:paraId="5C7C4059" w14:textId="77777777" w:rsidR="001B58C7" w:rsidRDefault="001B58C7">
            <w:pPr>
              <w:spacing w:after="160" w:line="276" w:lineRule="auto"/>
              <w:ind w:hanging="360"/>
              <w:rPr>
                <w:b/>
                <w:bCs/>
                <w:i/>
                <w:iCs/>
                <w:kern w:val="2"/>
                <w:lang w:val="fr-FR" w:eastAsia="zh-CN"/>
              </w:rPr>
            </w:pPr>
          </w:p>
        </w:tc>
      </w:tr>
      <w:tr w:rsidR="001B58C7" w14:paraId="0552924A" w14:textId="77777777">
        <w:trPr>
          <w:trHeight w:val="567"/>
        </w:trPr>
        <w:tc>
          <w:tcPr>
            <w:tcW w:w="3780" w:type="dxa"/>
            <w:tcBorders>
              <w:top w:val="nil"/>
              <w:left w:val="nil"/>
              <w:bottom w:val="nil"/>
              <w:right w:val="nil"/>
            </w:tcBorders>
            <w:noWrap/>
            <w:vAlign w:val="center"/>
          </w:tcPr>
          <w:p w14:paraId="7361ED2A" w14:textId="77777777" w:rsidR="001B58C7" w:rsidRDefault="000F0E0E">
            <w:pPr>
              <w:spacing w:after="160" w:line="276" w:lineRule="auto"/>
              <w:rPr>
                <w:rFonts w:asciiTheme="majorBidi" w:hAnsiTheme="majorBidi" w:cstheme="majorBidi"/>
                <w:color w:val="000000"/>
                <w:kern w:val="2"/>
                <w:sz w:val="22"/>
                <w:szCs w:val="22"/>
                <w:lang w:val="fr-FR" w:eastAsia="zh-CN"/>
              </w:rPr>
            </w:pPr>
            <w:r>
              <w:rPr>
                <w:rFonts w:asciiTheme="majorBidi" w:hAnsiTheme="majorBidi" w:cstheme="majorBidi"/>
                <w:color w:val="000000"/>
                <w:kern w:val="2"/>
                <w:sz w:val="22"/>
                <w:szCs w:val="22"/>
                <w:lang w:val="fr-FR" w:eastAsia="zh-CN"/>
              </w:rPr>
              <w:t>Identification des bénéficiaires</w:t>
            </w:r>
          </w:p>
        </w:tc>
        <w:tc>
          <w:tcPr>
            <w:tcW w:w="3780" w:type="dxa"/>
            <w:tcBorders>
              <w:top w:val="nil"/>
              <w:left w:val="nil"/>
              <w:bottom w:val="nil"/>
              <w:right w:val="nil"/>
            </w:tcBorders>
            <w:vAlign w:val="center"/>
          </w:tcPr>
          <w:p w14:paraId="0ED465D0" w14:textId="77777777" w:rsidR="001B58C7" w:rsidRDefault="000F0E0E">
            <w:pPr>
              <w:spacing w:after="160" w:line="276" w:lineRule="auto"/>
              <w:rPr>
                <w:b/>
                <w:bCs/>
                <w:i/>
                <w:iCs/>
                <w:kern w:val="2"/>
                <w:lang w:val="fr-FR" w:eastAsia="zh-CN"/>
              </w:rPr>
            </w:pPr>
            <w:proofErr w:type="gramStart"/>
            <w:r>
              <w:rPr>
                <w:b/>
                <w:bCs/>
                <w:i/>
                <w:iCs/>
                <w:kern w:val="2"/>
                <w:lang w:val="fr-FR"/>
              </w:rPr>
              <w:t>complété</w:t>
            </w:r>
            <w:proofErr w:type="gramEnd"/>
          </w:p>
        </w:tc>
      </w:tr>
    </w:tbl>
    <w:p w14:paraId="4BC2DD6D" w14:textId="77777777" w:rsidR="001B58C7" w:rsidRDefault="001B58C7">
      <w:pPr>
        <w:jc w:val="both"/>
        <w:rPr>
          <w:lang w:val="fr-FR"/>
        </w:rPr>
      </w:pPr>
    </w:p>
    <w:p w14:paraId="0DB56F73" w14:textId="77777777" w:rsidR="001B58C7" w:rsidRDefault="000F0E0E">
      <w:pPr>
        <w:ind w:left="-360"/>
        <w:jc w:val="both"/>
        <w:rPr>
          <w:lang w:val="fr-FR"/>
        </w:rPr>
      </w:pPr>
      <w:r>
        <w:rPr>
          <w:i/>
          <w:iCs/>
          <w:lang w:val="fr-FR"/>
        </w:rPr>
        <w:t>Fournissez toute information descriptive supplémentaire relative à l'état global de mise en œuvre du projet en termes de cycle de mise en œuvre, y compris si toutes les activités préparatoires ont été achevées (par exemple, contractualisation des partenaires, recrutement du personnel etc.) (3000 caractères</w:t>
      </w:r>
      <w:proofErr w:type="gramStart"/>
      <w:r>
        <w:rPr>
          <w:i/>
          <w:iCs/>
          <w:lang w:val="fr-FR"/>
        </w:rPr>
        <w:t>)</w:t>
      </w:r>
      <w:r>
        <w:rPr>
          <w:lang w:val="fr-FR"/>
        </w:rPr>
        <w:t>:</w:t>
      </w:r>
      <w:proofErr w:type="gramEnd"/>
      <w:r>
        <w:rPr>
          <w:lang w:val="fr-FR"/>
        </w:rPr>
        <w:t xml:space="preserve"> </w:t>
      </w:r>
    </w:p>
    <w:p w14:paraId="048141E2" w14:textId="77777777" w:rsidR="001B58C7" w:rsidRDefault="001B58C7">
      <w:pPr>
        <w:ind w:left="-360"/>
        <w:jc w:val="both"/>
        <w:rPr>
          <w:lang w:val="fr-FR"/>
        </w:rPr>
      </w:pPr>
    </w:p>
    <w:p w14:paraId="6DC929EE" w14:textId="77777777" w:rsidR="001B58C7" w:rsidRPr="00ED3A8A" w:rsidRDefault="000F0E0E">
      <w:pPr>
        <w:jc w:val="both"/>
        <w:rPr>
          <w:rFonts w:eastAsia="Segoe UI"/>
          <w:lang w:val="fr-FR"/>
        </w:rPr>
      </w:pPr>
      <w:r w:rsidRPr="00ED3A8A">
        <w:rPr>
          <w:rFonts w:eastAsia="Segoe UI"/>
          <w:lang w:val="fr-FR"/>
        </w:rPr>
        <w:t xml:space="preserve">Les contraintes financières survenues en 2025 ont eu un impact significatif sur le dispositif opérationnel du projet. Elles ont conduit à la fermeture des bureaux du HCR à Tshikapa (Kasaï) en juin 2025 et à Kananga (Kasaï Central) en décembre 2025. </w:t>
      </w:r>
    </w:p>
    <w:p w14:paraId="595A7D74" w14:textId="50B4FE46" w:rsidR="001B58C7" w:rsidRPr="00ED3A8A" w:rsidRDefault="000F0E0E">
      <w:pPr>
        <w:jc w:val="both"/>
        <w:rPr>
          <w:lang w:val="fr-FR"/>
        </w:rPr>
      </w:pPr>
      <w:r w:rsidRPr="00ED3A8A">
        <w:rPr>
          <w:rFonts w:eastAsia="Segoe UI"/>
          <w:lang w:val="fr-FR"/>
        </w:rPr>
        <w:t xml:space="preserve">De même, le Bureau conjoint des Nations Unies aux droits de l’homme (BCNUDH) a fermé son bureau de Tshikapa en </w:t>
      </w:r>
      <w:r>
        <w:rPr>
          <w:rFonts w:eastAsia="Segoe UI"/>
          <w:lang w:val="fr-FR"/>
        </w:rPr>
        <w:t xml:space="preserve">décembre </w:t>
      </w:r>
      <w:r w:rsidRPr="00ED3A8A">
        <w:rPr>
          <w:rFonts w:eastAsia="Segoe UI"/>
          <w:lang w:val="fr-FR"/>
        </w:rPr>
        <w:t>202</w:t>
      </w:r>
      <w:r>
        <w:rPr>
          <w:rFonts w:eastAsia="Segoe UI"/>
          <w:lang w:val="fr-FR"/>
        </w:rPr>
        <w:t>4</w:t>
      </w:r>
      <w:r w:rsidRPr="00ED3A8A">
        <w:rPr>
          <w:rFonts w:eastAsia="Segoe UI"/>
          <w:lang w:val="fr-FR"/>
        </w:rPr>
        <w:t xml:space="preserve"> et a procédé à une réduction substantielle de ses effectifs à Kananga</w:t>
      </w:r>
      <w:r>
        <w:rPr>
          <w:rFonts w:eastAsia="Segoe UI"/>
          <w:lang w:val="fr-FR"/>
        </w:rPr>
        <w:t xml:space="preserve"> au mois de décembre 2025</w:t>
      </w:r>
      <w:r w:rsidRPr="00ED3A8A">
        <w:rPr>
          <w:rFonts w:eastAsia="Segoe UI"/>
          <w:lang w:val="fr-FR"/>
        </w:rPr>
        <w:t xml:space="preserve">. Toutefois, en </w:t>
      </w:r>
      <w:r w:rsidR="000567C9" w:rsidRPr="00ED3A8A">
        <w:rPr>
          <w:rFonts w:eastAsia="Segoe UI"/>
          <w:lang w:val="fr-FR"/>
        </w:rPr>
        <w:t>juin</w:t>
      </w:r>
      <w:r w:rsidRPr="00ED3A8A">
        <w:rPr>
          <w:rFonts w:eastAsia="Segoe UI"/>
          <w:lang w:val="fr-FR"/>
        </w:rPr>
        <w:t xml:space="preserve"> 2026, le BCNUDH a renforcé sa présence en procédant au recrutement d’un expert</w:t>
      </w:r>
      <w:r w:rsidR="000567C9" w:rsidRPr="00ED3A8A">
        <w:rPr>
          <w:rFonts w:eastAsia="Segoe UI"/>
          <w:lang w:val="fr-FR"/>
        </w:rPr>
        <w:t xml:space="preserve"> international en justice transitionnelle</w:t>
      </w:r>
      <w:r w:rsidRPr="00ED3A8A">
        <w:rPr>
          <w:rFonts w:eastAsia="Segoe UI"/>
          <w:lang w:val="fr-FR"/>
        </w:rPr>
        <w:t xml:space="preserve"> dédié au projet PROJUST, </w:t>
      </w:r>
      <w:r w:rsidR="000567C9" w:rsidRPr="00ED3A8A">
        <w:rPr>
          <w:rFonts w:eastAsia="Segoe UI"/>
          <w:lang w:val="fr-FR"/>
        </w:rPr>
        <w:t xml:space="preserve">qui sera </w:t>
      </w:r>
      <w:r w:rsidRPr="00ED3A8A">
        <w:rPr>
          <w:rFonts w:eastAsia="Segoe UI"/>
          <w:lang w:val="fr-FR"/>
        </w:rPr>
        <w:t xml:space="preserve">basé à Kananga </w:t>
      </w:r>
      <w:r w:rsidR="000567C9" w:rsidRPr="00ED3A8A">
        <w:rPr>
          <w:rFonts w:eastAsia="Segoe UI"/>
          <w:lang w:val="fr-FR"/>
        </w:rPr>
        <w:t xml:space="preserve">et couvrira au besoin </w:t>
      </w:r>
      <w:r w:rsidRPr="00ED3A8A">
        <w:rPr>
          <w:rFonts w:eastAsia="Segoe UI"/>
          <w:lang w:val="fr-FR"/>
        </w:rPr>
        <w:t>l’ensemble du Grand Kasaï</w:t>
      </w:r>
      <w:r w:rsidR="00172924" w:rsidRPr="00ED3A8A">
        <w:rPr>
          <w:rFonts w:eastAsia="Segoe UI"/>
          <w:lang w:val="fr-FR"/>
        </w:rPr>
        <w:t>.</w:t>
      </w:r>
    </w:p>
    <w:p w14:paraId="7F8BBDDA" w14:textId="77777777" w:rsidR="001B58C7" w:rsidRPr="00ED3A8A" w:rsidRDefault="000F0E0E">
      <w:pPr>
        <w:pStyle w:val="NormalWeb"/>
        <w:spacing w:line="200" w:lineRule="atLeast"/>
        <w:jc w:val="both"/>
        <w:rPr>
          <w:lang w:val="fr-FR"/>
        </w:rPr>
      </w:pPr>
      <w:r w:rsidRPr="00ED3A8A">
        <w:rPr>
          <w:rFonts w:eastAsia="Segoe UI"/>
          <w:lang w:val="fr-FR"/>
        </w:rPr>
        <w:t>Malgré ces contraintes, les acquis des phases préparatoires du projet, notamment le lancement institutionnel et les activités de planification conduits entre mars et avril 2025, continuent de produire des effets structurants. Ces acquis se traduisent par le maintien de mécanismes de gouvernance fonctionnels et de cadres de concertation opérationnels. PROJUST s’appuie sur ces dispositifs pour accompagner les stratégies provinciales de priorisation des poursuites, favorisant ainsi une coordination renforcée e</w:t>
      </w:r>
      <w:r w:rsidRPr="00ED3A8A">
        <w:rPr>
          <w:rFonts w:eastAsia="Segoe UI"/>
          <w:lang w:val="fr-FR"/>
        </w:rPr>
        <w:t>ntre les institutions judiciaires, les services techniques et les partenaires. Cette dynamique contribue également à alimenter les objectifs du Programme conjoint des Nations Unies d’appui à la réforme de la justice 2025–2029.</w:t>
      </w:r>
    </w:p>
    <w:p w14:paraId="2EFF57EC" w14:textId="77777777" w:rsidR="001B58C7" w:rsidRPr="00ED3A8A" w:rsidRDefault="000F0E0E">
      <w:pPr>
        <w:pStyle w:val="NormalWeb"/>
        <w:spacing w:line="200" w:lineRule="atLeast"/>
        <w:jc w:val="both"/>
        <w:rPr>
          <w:lang w:val="fr-FR"/>
        </w:rPr>
      </w:pPr>
      <w:r w:rsidRPr="00ED3A8A">
        <w:rPr>
          <w:rFonts w:eastAsia="Segoe UI"/>
          <w:lang w:val="fr-FR"/>
        </w:rPr>
        <w:t xml:space="preserve">S’agissant du HCR, la reconfiguration du dispositif de mise en œuvre, consécutive aux contraintes évoquées, s’est traduite par la désignation de la Kadima Foundation comme partenaire opérationnel unique pour le Résultat 3 dans les deux zones d’intervention du projet, </w:t>
      </w:r>
      <w:r w:rsidRPr="00ED3A8A">
        <w:rPr>
          <w:rFonts w:eastAsia="Segoe UI"/>
          <w:lang w:val="fr-FR"/>
        </w:rPr>
        <w:lastRenderedPageBreak/>
        <w:t xml:space="preserve">à la suite de la cessation des partenariats antérieurs. </w:t>
      </w:r>
      <w:r w:rsidRPr="00ED3A8A">
        <w:rPr>
          <w:rFonts w:eastAsia="Segoe UI"/>
          <w:lang w:val="fr-FR"/>
        </w:rPr>
        <w:t>Cette transition s’est accompagnée de la mise en place de mécanismes renforcés de coordination et de suivi à distance entre le HCR (désormais basé à Kinshasa), le PNUD et les partenaires du consortium. Un accent particulier est mis sur le renforcement des capacités de cette organisation afin de garantir la qualité, la redevabilité et la continuité des interventions sur le terrain.</w:t>
      </w:r>
    </w:p>
    <w:p w14:paraId="14DCB8CD" w14:textId="77777777" w:rsidR="001B58C7" w:rsidRPr="00ED3A8A" w:rsidRDefault="000F0E0E">
      <w:pPr>
        <w:pStyle w:val="NormalWeb"/>
        <w:spacing w:line="200" w:lineRule="atLeast"/>
        <w:jc w:val="both"/>
        <w:rPr>
          <w:lang w:val="fr-FR"/>
        </w:rPr>
      </w:pPr>
      <w:r w:rsidRPr="00ED3A8A">
        <w:rPr>
          <w:rFonts w:eastAsia="Segoe UI"/>
          <w:lang w:val="fr-FR"/>
        </w:rPr>
        <w:t>Par ailleurs, malgré la fermeture de son bureau à Tshikapa, le BCNUDH a su préserver des acquis institutionnels importants. Son appui s’est poursuivi, notamment à travers l’accompagnement de la Commission Provinciale Vérité, Justice et Réconciliation (CPVJR) du Kasaï Central, incluant le développement d’outils techniques et l’appui à la planification des activités. Le BCNUDH a également contribué à la vulgarisation du rapport issu des consultations provinciales dans le Kasaï, en appui à l’émergence d’un méc</w:t>
      </w:r>
      <w:r w:rsidRPr="00ED3A8A">
        <w:rPr>
          <w:rFonts w:eastAsia="Segoe UI"/>
          <w:lang w:val="fr-FR"/>
        </w:rPr>
        <w:t>anisme de justice transitionnelle.</w:t>
      </w:r>
    </w:p>
    <w:p w14:paraId="72AA4F8F" w14:textId="77777777" w:rsidR="001B58C7" w:rsidRDefault="000F0E0E">
      <w:pPr>
        <w:pStyle w:val="NormalWeb"/>
        <w:spacing w:line="200" w:lineRule="atLeast"/>
        <w:jc w:val="both"/>
        <w:rPr>
          <w:lang w:val="fr-FR"/>
        </w:rPr>
      </w:pPr>
      <w:r w:rsidRPr="00ED3A8A">
        <w:rPr>
          <w:rFonts w:eastAsia="Segoe UI"/>
          <w:lang w:val="fr-FR"/>
        </w:rPr>
        <w:t>Dans l’ensemble, ces mesures d’adaptation ont permis d’atténuer les effets des contraintes financières, de préserver la continuité des interventions et de maintenir une dynamique opérationnelle orientée vers les résultats, tout en consolidant les bases d’une coordination inter-agences et institutionnelle plus résiliente.</w:t>
      </w:r>
    </w:p>
    <w:p w14:paraId="0ABB1EE8" w14:textId="77777777" w:rsidR="001B58C7" w:rsidRDefault="000F0E0E">
      <w:pPr>
        <w:ind w:left="-360"/>
        <w:rPr>
          <w:i/>
          <w:iCs/>
          <w:lang w:val="fr-FR"/>
        </w:rPr>
      </w:pPr>
      <w:r>
        <w:rPr>
          <w:b/>
          <w:bCs/>
          <w:i/>
          <w:iCs/>
          <w:lang w:val="fr-FR"/>
        </w:rPr>
        <w:t>Décrire les principaux progrès réalisés au cours de la période considérée (pour les rapports de juin : janvier-juin </w:t>
      </w:r>
      <w:r>
        <w:rPr>
          <w:i/>
          <w:iCs/>
          <w:lang w:val="fr-FR"/>
        </w:rPr>
        <w:t>; pour les rapports de novembre : janvier-décembre (prévu) ; pour les rapports finaux : durée totale du projet). Prière de ne pas énumérer toutes les activités individuelles). Si le projet commence à faire / a fait une différence au niveau des résultats, fournissez des preuves spécifiques pour les progrès (quantitatifs et qualitatifs) et expliquez comment cela a un impact sur le contexte politique et de consolidation de la paix.</w:t>
      </w:r>
    </w:p>
    <w:p w14:paraId="479D6ACB" w14:textId="77777777" w:rsidR="001B58C7" w:rsidRDefault="001B58C7">
      <w:pPr>
        <w:rPr>
          <w:b/>
          <w:u w:val="single"/>
          <w:lang w:val="fr-FR"/>
        </w:rPr>
      </w:pPr>
    </w:p>
    <w:p w14:paraId="7D16D6A4" w14:textId="77777777" w:rsidR="001B58C7" w:rsidRDefault="000F0E0E">
      <w:pPr>
        <w:ind w:hanging="360"/>
        <w:rPr>
          <w:b/>
          <w:bCs/>
          <w:lang w:val="fr-FR"/>
        </w:rPr>
      </w:pPr>
      <w:r>
        <w:rPr>
          <w:b/>
          <w:bCs/>
          <w:lang w:val="fr-FR"/>
        </w:rPr>
        <w:t>Le projet est-il sur la bonne voie pour que les produits soient achevés dans les délais prévus, comme indiqué dans le plan de travail ?</w:t>
      </w:r>
      <w:r>
        <w:rPr>
          <w:b/>
          <w:bCs/>
          <w:lang w:val="fr-FR"/>
        </w:rPr>
        <w:fldChar w:fldCharType="begin"/>
      </w:r>
      <w:r>
        <w:rPr>
          <w:b/>
          <w:bCs/>
          <w:lang w:val="fr-FR"/>
        </w:rPr>
        <w:instrText xml:space="preserve"> FORMDROPDOWN </w:instrText>
      </w:r>
      <w:r>
        <w:rPr>
          <w:b/>
          <w:bCs/>
          <w:lang w:val="fr-FR"/>
        </w:rPr>
        <w:fldChar w:fldCharType="separate"/>
      </w:r>
      <w:r>
        <w:rPr>
          <w:b/>
          <w:bCs/>
          <w:lang w:val="fr-FR"/>
        </w:rPr>
        <w:fldChar w:fldCharType="end"/>
      </w:r>
      <w:r>
        <w:rPr>
          <w:b/>
          <w:bCs/>
          <w:lang w:val="fr-FR"/>
        </w:rPr>
        <w:t>OUI.</w:t>
      </w:r>
    </w:p>
    <w:p w14:paraId="70355D2B" w14:textId="77777777" w:rsidR="001B58C7" w:rsidRDefault="001B58C7">
      <w:pPr>
        <w:ind w:hanging="360"/>
        <w:rPr>
          <w:b/>
          <w:bCs/>
          <w:lang w:val="fr-FR"/>
        </w:rPr>
      </w:pPr>
    </w:p>
    <w:p w14:paraId="4A4423BF" w14:textId="77777777" w:rsidR="001B58C7" w:rsidRDefault="000F0E0E">
      <w:pPr>
        <w:ind w:hanging="360"/>
        <w:rPr>
          <w:b/>
          <w:bCs/>
          <w:lang w:val="fr-FR"/>
        </w:rPr>
      </w:pPr>
      <w:r>
        <w:rPr>
          <w:lang w:val="fr-FR"/>
        </w:rPr>
        <w:t>Si non, veuillez fournir une explication</w:t>
      </w:r>
      <w:r>
        <w:rPr>
          <w:i/>
          <w:iCs/>
          <w:lang w:val="fr-FR"/>
        </w:rPr>
        <w:t xml:space="preserve"> (6000 caractères) :</w:t>
      </w:r>
    </w:p>
    <w:p w14:paraId="331C2A3C" w14:textId="77777777" w:rsidR="001B58C7" w:rsidRDefault="001B58C7">
      <w:pPr>
        <w:ind w:left="-720" w:firstLine="360"/>
        <w:jc w:val="both"/>
        <w:rPr>
          <w:lang w:val="fr-FR"/>
        </w:rPr>
      </w:pPr>
    </w:p>
    <w:p w14:paraId="5A8CFD16" w14:textId="77777777" w:rsidR="001B58C7" w:rsidRDefault="000F0E0E">
      <w:pPr>
        <w:ind w:left="-360"/>
        <w:rPr>
          <w:b/>
          <w:bCs/>
          <w:lang w:val="fr-FR"/>
        </w:rPr>
      </w:pPr>
      <w:r>
        <w:rPr>
          <w:b/>
          <w:bCs/>
          <w:lang w:val="fr-FR"/>
        </w:rPr>
        <w:t xml:space="preserve">Résumé de progrès </w:t>
      </w:r>
      <w:r>
        <w:rPr>
          <w:b/>
          <w:bCs/>
          <w:i/>
          <w:iCs/>
          <w:lang w:val="fr-FR"/>
        </w:rPr>
        <w:t>(6000 caractères)</w:t>
      </w:r>
      <w:r>
        <w:rPr>
          <w:b/>
          <w:bCs/>
          <w:lang w:val="fr-FR"/>
        </w:rPr>
        <w:t xml:space="preserve"> :</w:t>
      </w:r>
    </w:p>
    <w:p w14:paraId="6DD62528" w14:textId="77777777" w:rsidR="001B58C7" w:rsidRPr="00ED3A8A" w:rsidRDefault="000F0E0E">
      <w:pPr>
        <w:pStyle w:val="NormalWeb"/>
        <w:spacing w:line="200" w:lineRule="atLeast"/>
        <w:jc w:val="both"/>
        <w:rPr>
          <w:lang w:val="fr-FR"/>
        </w:rPr>
      </w:pPr>
      <w:r w:rsidRPr="00ED3A8A">
        <w:rPr>
          <w:rFonts w:eastAsia="Segoe UI"/>
          <w:lang w:val="fr-FR"/>
        </w:rPr>
        <w:t xml:space="preserve">Au cours du semestre, le projet PROJUST a enregistré des avancées significatives dans la consolidation des mécanismes de justice transitionnelle, l’amélioration de l’accès à la justice et le renforcement des </w:t>
      </w:r>
      <w:r w:rsidRPr="00ED3A8A">
        <w:rPr>
          <w:rFonts w:eastAsia="Segoe UI"/>
          <w:lang w:val="fr-FR"/>
        </w:rPr>
        <w:t>dispositifs de prévention des conflits, avec des résultats différenciés selon les zones d’intervention.</w:t>
      </w:r>
    </w:p>
    <w:p w14:paraId="4B5C6C83" w14:textId="68B2D685" w:rsidR="001B58C7" w:rsidRPr="00ED3A8A" w:rsidRDefault="000F0E0E">
      <w:pPr>
        <w:pStyle w:val="NormalWeb"/>
        <w:spacing w:line="200" w:lineRule="atLeast"/>
        <w:jc w:val="both"/>
        <w:rPr>
          <w:rFonts w:eastAsia="Segoe UI"/>
          <w:lang w:val="fr-FR"/>
        </w:rPr>
      </w:pPr>
      <w:r w:rsidRPr="00ED3A8A">
        <w:rPr>
          <w:rStyle w:val="lev"/>
          <w:rFonts w:eastAsia="Segoe UI"/>
          <w:lang w:val="fr-FR"/>
        </w:rPr>
        <w:t>Au niveau transversal</w:t>
      </w:r>
      <w:r w:rsidRPr="00ED3A8A">
        <w:rPr>
          <w:rFonts w:eastAsia="Segoe UI"/>
          <w:lang w:val="fr-FR"/>
        </w:rPr>
        <w:t>, des progrès importants ont été réalisés dans le renforcement des capacités opérationnelles de la Commission Provinciale Vérité, Justice et Réconciliation (CPVJR) et dans l’adhésion des parties prenantes. L’appui technique et financier a permis de finaliser la formation des commissaires et de leurs partenaires sur l</w:t>
      </w:r>
      <w:r w:rsidR="00172924" w:rsidRPr="00ED3A8A">
        <w:rPr>
          <w:rFonts w:eastAsia="Segoe UI"/>
          <w:lang w:val="fr-FR"/>
        </w:rPr>
        <w:t xml:space="preserve">e receuil des </w:t>
      </w:r>
      <w:r w:rsidRPr="00ED3A8A">
        <w:rPr>
          <w:rFonts w:eastAsia="Segoe UI"/>
          <w:lang w:val="fr-FR"/>
        </w:rPr>
        <w:t>dépositions, le référencement des cas et la gestion sécurisée des données, améliorant la qualité</w:t>
      </w:r>
      <w:r w:rsidR="00172924" w:rsidRPr="00ED3A8A">
        <w:rPr>
          <w:rFonts w:eastAsia="Segoe UI"/>
          <w:lang w:val="fr-FR"/>
        </w:rPr>
        <w:t>,</w:t>
      </w:r>
      <w:r w:rsidRPr="00ED3A8A">
        <w:rPr>
          <w:rFonts w:eastAsia="Segoe UI"/>
          <w:lang w:val="fr-FR"/>
        </w:rPr>
        <w:t xml:space="preserve"> </w:t>
      </w:r>
      <w:r w:rsidRPr="00ED3A8A">
        <w:rPr>
          <w:rFonts w:eastAsia="Segoe UI"/>
          <w:lang w:val="fr-FR"/>
        </w:rPr>
        <w:t>la crédibilité</w:t>
      </w:r>
      <w:r w:rsidR="00172924" w:rsidRPr="00ED3A8A">
        <w:rPr>
          <w:rFonts w:eastAsia="Segoe UI"/>
          <w:lang w:val="fr-FR"/>
        </w:rPr>
        <w:t xml:space="preserve"> et la confidentialité</w:t>
      </w:r>
      <w:r w:rsidRPr="00ED3A8A">
        <w:rPr>
          <w:rFonts w:eastAsia="Segoe UI"/>
          <w:lang w:val="fr-FR"/>
        </w:rPr>
        <w:t xml:space="preserve"> des informations. </w:t>
      </w:r>
    </w:p>
    <w:p w14:paraId="33BBB688" w14:textId="77777777" w:rsidR="001B58C7" w:rsidRPr="00ED3A8A" w:rsidRDefault="000F0E0E">
      <w:pPr>
        <w:pStyle w:val="NormalWeb"/>
        <w:spacing w:line="200" w:lineRule="atLeast"/>
        <w:jc w:val="both"/>
        <w:rPr>
          <w:lang w:val="fr-FR"/>
        </w:rPr>
      </w:pPr>
      <w:r w:rsidRPr="00ED3A8A">
        <w:rPr>
          <w:rFonts w:eastAsia="Segoe UI"/>
          <w:lang w:val="fr-FR"/>
        </w:rPr>
        <w:t>Par ailleurs, les activités de sensibilisation ont mobilisé les acteurs institutionnels, les médias et la société civile (80 participants en mars 2026), renforçant la confiance et l’appropriation du processus. L’atelier technique (16–18 mars 2026) a permis de renforcer les compétences de 40 commissaires et enquêteurs (dont 11 femmes), contribuant à une meilleure prise en compte des droits humains et des victimes vulnérables.</w:t>
      </w:r>
    </w:p>
    <w:p w14:paraId="43564A2F" w14:textId="77777777" w:rsidR="001B58C7" w:rsidRPr="00ED3A8A" w:rsidRDefault="001B58C7">
      <w:pPr>
        <w:spacing w:line="200" w:lineRule="atLeast"/>
        <w:jc w:val="both"/>
        <w:rPr>
          <w:lang w:val="fr-FR"/>
        </w:rPr>
      </w:pPr>
    </w:p>
    <w:p w14:paraId="6068D18D" w14:textId="77777777" w:rsidR="001B58C7" w:rsidRDefault="000F0E0E">
      <w:pPr>
        <w:pStyle w:val="Titre3"/>
        <w:numPr>
          <w:ilvl w:val="0"/>
          <w:numId w:val="2"/>
        </w:numPr>
        <w:spacing w:line="200" w:lineRule="atLeast"/>
        <w:jc w:val="both"/>
        <w:rPr>
          <w:rFonts w:ascii="Times New Roman" w:hAnsi="Times New Roman" w:hint="default"/>
          <w:sz w:val="24"/>
          <w:szCs w:val="24"/>
        </w:rPr>
      </w:pPr>
      <w:r>
        <w:rPr>
          <w:rFonts w:ascii="Times New Roman" w:hAnsi="Times New Roman" w:hint="default"/>
          <w:sz w:val="24"/>
          <w:szCs w:val="24"/>
        </w:rPr>
        <w:t xml:space="preserve">Province du </w:t>
      </w:r>
      <w:proofErr w:type="spellStart"/>
      <w:r>
        <w:rPr>
          <w:rFonts w:ascii="Times New Roman" w:hAnsi="Times New Roman" w:hint="default"/>
          <w:sz w:val="24"/>
          <w:szCs w:val="24"/>
        </w:rPr>
        <w:t>Kasaï</w:t>
      </w:r>
      <w:proofErr w:type="spellEnd"/>
    </w:p>
    <w:p w14:paraId="303BFE51" w14:textId="77777777" w:rsidR="001B58C7" w:rsidRPr="00ED3A8A" w:rsidRDefault="000F0E0E">
      <w:pPr>
        <w:pStyle w:val="NormalWeb"/>
        <w:spacing w:line="200" w:lineRule="atLeast"/>
        <w:jc w:val="both"/>
        <w:rPr>
          <w:lang w:val="fr-FR"/>
        </w:rPr>
      </w:pPr>
      <w:r w:rsidRPr="00ED3A8A">
        <w:rPr>
          <w:rFonts w:eastAsia="Segoe UI"/>
          <w:lang w:val="fr-FR"/>
        </w:rPr>
        <w:t>Dans le Kasaï, les progrès ont été particulièrement marqués dans la structuration des mécanismes de justice transitionnelle et l’accès à la justice :</w:t>
      </w:r>
    </w:p>
    <w:p w14:paraId="08983914" w14:textId="77777777" w:rsidR="001B58C7" w:rsidRDefault="000F0E0E">
      <w:pPr>
        <w:pStyle w:val="NormalWeb"/>
        <w:spacing w:line="200" w:lineRule="atLeast"/>
        <w:jc w:val="both"/>
        <w:rPr>
          <w:lang w:val="fr-FR"/>
        </w:rPr>
      </w:pPr>
      <w:r w:rsidRPr="00ED3A8A">
        <w:rPr>
          <w:rStyle w:val="lev"/>
          <w:rFonts w:eastAsia="Segoe UI"/>
          <w:lang w:val="fr-FR"/>
        </w:rPr>
        <w:t>Justice transitionnelle :</w:t>
      </w:r>
      <w:r w:rsidRPr="00ED3A8A">
        <w:rPr>
          <w:rFonts w:eastAsia="Segoe UI"/>
          <w:lang w:val="fr-FR"/>
        </w:rPr>
        <w:t xml:space="preserve"> 60 acteurs de la société civile (dont 20 femmes) ont été formés et impliqués dans la validation du rapport des consultations nationales. </w:t>
      </w:r>
      <w:r w:rsidRPr="00ED3A8A">
        <w:rPr>
          <w:rFonts w:eastAsia="Segoe UI"/>
          <w:lang w:val="fr-FR"/>
        </w:rPr>
        <w:t>La finalisation et l’impression de ce rapport constituent une étape clé en vue de sa vulgarisation et de la mise en place d’un mécanisme local de justice transitionnelle</w:t>
      </w:r>
      <w:r>
        <w:rPr>
          <w:rFonts w:eastAsia="Segoe UI"/>
          <w:lang w:val="fr-FR"/>
        </w:rPr>
        <w:t>.</w:t>
      </w:r>
    </w:p>
    <w:p w14:paraId="52D26AF6" w14:textId="77777777" w:rsidR="001B58C7" w:rsidRPr="00ED3A8A" w:rsidRDefault="000F0E0E">
      <w:pPr>
        <w:pStyle w:val="NormalWeb"/>
        <w:spacing w:line="200" w:lineRule="atLeast"/>
        <w:jc w:val="both"/>
        <w:rPr>
          <w:lang w:val="fr-FR"/>
        </w:rPr>
      </w:pPr>
      <w:r w:rsidRPr="00ED3A8A">
        <w:rPr>
          <w:rStyle w:val="lev"/>
          <w:rFonts w:eastAsia="Segoe UI"/>
          <w:lang w:val="fr-FR"/>
        </w:rPr>
        <w:t>Accès à la justice :</w:t>
      </w:r>
      <w:r w:rsidRPr="00ED3A8A">
        <w:rPr>
          <w:rFonts w:eastAsia="Segoe UI"/>
          <w:lang w:val="fr-FR"/>
        </w:rPr>
        <w:t xml:space="preserve"> Les audiences foraines organisées du 15 au 25 mai 2026 à </w:t>
      </w:r>
      <w:proofErr w:type="spellStart"/>
      <w:r w:rsidRPr="00ED3A8A">
        <w:rPr>
          <w:rFonts w:eastAsia="Segoe UI"/>
          <w:lang w:val="fr-FR"/>
        </w:rPr>
        <w:t>Lukuaya</w:t>
      </w:r>
      <w:proofErr w:type="spellEnd"/>
      <w:r w:rsidRPr="00ED3A8A">
        <w:rPr>
          <w:rFonts w:eastAsia="Segoe UI"/>
          <w:lang w:val="fr-FR"/>
        </w:rPr>
        <w:t xml:space="preserve"> (territoire de </w:t>
      </w:r>
      <w:proofErr w:type="spellStart"/>
      <w:r w:rsidRPr="00ED3A8A">
        <w:rPr>
          <w:rFonts w:eastAsia="Segoe UI"/>
          <w:lang w:val="fr-FR"/>
        </w:rPr>
        <w:t>Luebo</w:t>
      </w:r>
      <w:proofErr w:type="spellEnd"/>
      <w:r w:rsidRPr="00ED3A8A">
        <w:rPr>
          <w:rFonts w:eastAsia="Segoe UI"/>
          <w:lang w:val="fr-FR"/>
        </w:rPr>
        <w:t>) avec le Tribunal militaire de Tshikapa ont permis des avancées concrètes. Grâce à la coordination des acteurs judiciaires, une assistance judiciaire gratuite a été assurée aux victimes et aux prévenus :</w:t>
      </w:r>
    </w:p>
    <w:p w14:paraId="6D5E5022" w14:textId="77777777" w:rsidR="001B58C7" w:rsidRPr="00ED3A8A" w:rsidRDefault="000F0E0E">
      <w:pPr>
        <w:numPr>
          <w:ilvl w:val="0"/>
          <w:numId w:val="3"/>
        </w:numPr>
        <w:spacing w:beforeAutospacing="1" w:afterAutospacing="1" w:line="200" w:lineRule="atLeast"/>
        <w:jc w:val="both"/>
        <w:rPr>
          <w:lang w:val="fr-FR"/>
        </w:rPr>
      </w:pPr>
      <w:r w:rsidRPr="00ED3A8A">
        <w:rPr>
          <w:rFonts w:eastAsia="Segoe UI"/>
          <w:lang w:val="fr-FR"/>
        </w:rPr>
        <w:t>145 victimes accompagnées (dont 60 % de femmes et filles) ;</w:t>
      </w:r>
    </w:p>
    <w:p w14:paraId="5635105A" w14:textId="77777777" w:rsidR="001B58C7" w:rsidRPr="00ED3A8A" w:rsidRDefault="000F0E0E">
      <w:pPr>
        <w:numPr>
          <w:ilvl w:val="0"/>
          <w:numId w:val="3"/>
        </w:numPr>
        <w:spacing w:beforeAutospacing="1" w:afterAutospacing="1" w:line="200" w:lineRule="atLeast"/>
        <w:jc w:val="both"/>
        <w:rPr>
          <w:lang w:val="fr-FR"/>
        </w:rPr>
      </w:pPr>
      <w:r w:rsidRPr="00ED3A8A">
        <w:rPr>
          <w:rFonts w:eastAsia="Segoe UI"/>
          <w:lang w:val="fr-FR"/>
        </w:rPr>
        <w:t>19 victimes ont comparu avec assistance juridique ;</w:t>
      </w:r>
    </w:p>
    <w:p w14:paraId="4CC12B08" w14:textId="77777777" w:rsidR="001B58C7" w:rsidRPr="00ED3A8A" w:rsidRDefault="000F0E0E">
      <w:pPr>
        <w:numPr>
          <w:ilvl w:val="0"/>
          <w:numId w:val="3"/>
        </w:numPr>
        <w:spacing w:beforeAutospacing="1" w:afterAutospacing="1" w:line="200" w:lineRule="atLeast"/>
        <w:jc w:val="both"/>
        <w:rPr>
          <w:lang w:val="fr-FR"/>
        </w:rPr>
      </w:pPr>
      <w:r>
        <w:rPr>
          <w:rFonts w:eastAsia="Segoe UI"/>
          <w:lang w:val="fr-FR"/>
        </w:rPr>
        <w:t>G</w:t>
      </w:r>
      <w:r w:rsidRPr="00ED3A8A">
        <w:rPr>
          <w:rFonts w:eastAsia="Segoe UI"/>
          <w:lang w:val="fr-FR"/>
        </w:rPr>
        <w:t>arantie du droit à la défense et amélioration de la qualité des procédures.</w:t>
      </w:r>
    </w:p>
    <w:p w14:paraId="299C9FAF" w14:textId="77777777" w:rsidR="001B58C7" w:rsidRPr="00ED3A8A" w:rsidRDefault="000F0E0E">
      <w:pPr>
        <w:pStyle w:val="NormalWeb"/>
        <w:spacing w:line="200" w:lineRule="atLeast"/>
        <w:jc w:val="both"/>
        <w:rPr>
          <w:lang w:val="fr-FR"/>
        </w:rPr>
      </w:pPr>
      <w:r w:rsidRPr="00ED3A8A">
        <w:rPr>
          <w:rStyle w:val="lev"/>
          <w:rFonts w:eastAsia="Segoe UI"/>
          <w:lang w:val="fr-FR"/>
        </w:rPr>
        <w:t>Lutte contre l’impunité :</w:t>
      </w:r>
      <w:r w:rsidRPr="00ED3A8A">
        <w:rPr>
          <w:rFonts w:eastAsia="Segoe UI"/>
          <w:lang w:val="fr-FR"/>
        </w:rPr>
        <w:t xml:space="preserve"> Les audiences ont abouti à la condamnation de quatre prévenus (dont trois à 25 ans de servitude pénale et un à la peine capitale), envoyant un signal fort de rétablissement de l’autorité de l’État et de </w:t>
      </w:r>
      <w:r w:rsidRPr="00ED3A8A">
        <w:rPr>
          <w:rFonts w:eastAsia="Segoe UI"/>
          <w:lang w:val="fr-FR"/>
        </w:rPr>
        <w:t>crédibilité de la justice.</w:t>
      </w:r>
    </w:p>
    <w:p w14:paraId="78A6C4E0" w14:textId="77777777" w:rsidR="001B58C7" w:rsidRDefault="000F0E0E">
      <w:pPr>
        <w:pStyle w:val="Titre3"/>
        <w:numPr>
          <w:ilvl w:val="0"/>
          <w:numId w:val="2"/>
        </w:numPr>
        <w:spacing w:line="200" w:lineRule="atLeast"/>
        <w:jc w:val="both"/>
        <w:rPr>
          <w:rFonts w:ascii="Times New Roman" w:hAnsi="Times New Roman" w:hint="default"/>
          <w:sz w:val="24"/>
          <w:szCs w:val="24"/>
        </w:rPr>
      </w:pPr>
      <w:r>
        <w:rPr>
          <w:rFonts w:ascii="Times New Roman" w:hAnsi="Times New Roman" w:hint="default"/>
          <w:sz w:val="24"/>
          <w:szCs w:val="24"/>
        </w:rPr>
        <w:t xml:space="preserve">Province du </w:t>
      </w:r>
      <w:proofErr w:type="spellStart"/>
      <w:r>
        <w:rPr>
          <w:rFonts w:ascii="Times New Roman" w:hAnsi="Times New Roman" w:hint="default"/>
          <w:sz w:val="24"/>
          <w:szCs w:val="24"/>
        </w:rPr>
        <w:t>Kasaï</w:t>
      </w:r>
      <w:proofErr w:type="spellEnd"/>
      <w:r>
        <w:rPr>
          <w:rFonts w:ascii="Times New Roman" w:hAnsi="Times New Roman" w:hint="default"/>
          <w:sz w:val="24"/>
          <w:szCs w:val="24"/>
        </w:rPr>
        <w:t xml:space="preserve"> Central</w:t>
      </w:r>
    </w:p>
    <w:p w14:paraId="30DBD071" w14:textId="77777777" w:rsidR="001B58C7" w:rsidRPr="00ED3A8A" w:rsidRDefault="000F0E0E">
      <w:pPr>
        <w:pStyle w:val="NormalWeb"/>
        <w:spacing w:line="200" w:lineRule="atLeast"/>
        <w:jc w:val="both"/>
        <w:rPr>
          <w:lang w:val="fr-FR"/>
        </w:rPr>
      </w:pPr>
      <w:r w:rsidRPr="00ED3A8A">
        <w:rPr>
          <w:rFonts w:eastAsia="Segoe UI"/>
          <w:lang w:val="fr-FR"/>
        </w:rPr>
        <w:t>Dans le Kasaï Central, les progrès ont principalement porté sur le renforcement des mécanismes communautaires et institutionnels de prévention des conflits :</w:t>
      </w:r>
    </w:p>
    <w:p w14:paraId="7BD85DAF" w14:textId="77777777" w:rsidR="001B58C7" w:rsidRPr="00ED3A8A" w:rsidRDefault="000F0E0E">
      <w:pPr>
        <w:pStyle w:val="NormalWeb"/>
        <w:spacing w:line="200" w:lineRule="atLeast"/>
        <w:jc w:val="both"/>
        <w:rPr>
          <w:lang w:val="fr-FR"/>
        </w:rPr>
      </w:pPr>
      <w:r w:rsidRPr="00ED3A8A">
        <w:rPr>
          <w:rStyle w:val="lev"/>
          <w:rFonts w:eastAsia="Segoe UI"/>
          <w:lang w:val="fr-FR"/>
        </w:rPr>
        <w:t>Monitoring de protection :</w:t>
      </w:r>
      <w:r w:rsidRPr="00ED3A8A">
        <w:rPr>
          <w:rFonts w:eastAsia="Segoe UI"/>
          <w:lang w:val="fr-FR"/>
        </w:rPr>
        <w:t xml:space="preserve"> Déploiement de 9 moniteurs ayant permis de documenter 40 conflits et 713 incidents de protection entre mars et mai 2026, incluant des violations graves des droits humains, notamment des violences basées sur le genre (VBG).</w:t>
      </w:r>
    </w:p>
    <w:p w14:paraId="368EEC39" w14:textId="77777777" w:rsidR="001B58C7" w:rsidRDefault="000F0E0E">
      <w:pPr>
        <w:pStyle w:val="NormalWeb"/>
        <w:spacing w:line="200" w:lineRule="atLeast"/>
        <w:jc w:val="both"/>
        <w:rPr>
          <w:lang w:val="fr-FR"/>
        </w:rPr>
      </w:pPr>
      <w:r>
        <w:rPr>
          <w:rStyle w:val="lev"/>
          <w:rFonts w:eastAsia="Segoe UI"/>
        </w:rPr>
        <w:t xml:space="preserve">Réponse aux </w:t>
      </w:r>
      <w:proofErr w:type="gramStart"/>
      <w:r>
        <w:rPr>
          <w:rStyle w:val="lev"/>
          <w:rFonts w:eastAsia="Segoe UI"/>
        </w:rPr>
        <w:t xml:space="preserve">incidents </w:t>
      </w:r>
      <w:r>
        <w:rPr>
          <w:rStyle w:val="lev"/>
          <w:rFonts w:eastAsia="Segoe UI"/>
          <w:lang w:val="fr-FR"/>
        </w:rPr>
        <w:t>:</w:t>
      </w:r>
      <w:proofErr w:type="gramEnd"/>
    </w:p>
    <w:p w14:paraId="2409250B" w14:textId="77777777" w:rsidR="001B58C7" w:rsidRDefault="000F0E0E">
      <w:pPr>
        <w:numPr>
          <w:ilvl w:val="0"/>
          <w:numId w:val="4"/>
        </w:numPr>
        <w:spacing w:beforeAutospacing="1" w:afterAutospacing="1" w:line="200" w:lineRule="atLeast"/>
        <w:jc w:val="both"/>
      </w:pPr>
      <w:r>
        <w:rPr>
          <w:rFonts w:eastAsia="Segoe UI"/>
        </w:rPr>
        <w:t xml:space="preserve">76 </w:t>
      </w:r>
      <w:proofErr w:type="spellStart"/>
      <w:r>
        <w:rPr>
          <w:rFonts w:eastAsia="Segoe UI"/>
        </w:rPr>
        <w:t>victimes</w:t>
      </w:r>
      <w:proofErr w:type="spellEnd"/>
      <w:r>
        <w:rPr>
          <w:rFonts w:eastAsia="Segoe UI"/>
        </w:rPr>
        <w:t xml:space="preserve"> </w:t>
      </w:r>
      <w:proofErr w:type="spellStart"/>
      <w:proofErr w:type="gramStart"/>
      <w:r>
        <w:rPr>
          <w:rFonts w:eastAsia="Segoe UI"/>
        </w:rPr>
        <w:t>assistées</w:t>
      </w:r>
      <w:proofErr w:type="spellEnd"/>
      <w:r>
        <w:rPr>
          <w:rFonts w:eastAsia="Segoe UI"/>
        </w:rPr>
        <w:t xml:space="preserve"> ;</w:t>
      </w:r>
      <w:proofErr w:type="gramEnd"/>
    </w:p>
    <w:p w14:paraId="0DDEE4C6" w14:textId="77777777" w:rsidR="001B58C7" w:rsidRPr="00ED3A8A" w:rsidRDefault="000F0E0E">
      <w:pPr>
        <w:numPr>
          <w:ilvl w:val="0"/>
          <w:numId w:val="4"/>
        </w:numPr>
        <w:spacing w:beforeAutospacing="1" w:afterAutospacing="1" w:line="200" w:lineRule="atLeast"/>
        <w:jc w:val="both"/>
        <w:rPr>
          <w:lang w:val="fr-FR"/>
        </w:rPr>
      </w:pPr>
      <w:r w:rsidRPr="00ED3A8A">
        <w:rPr>
          <w:rFonts w:eastAsia="Segoe UI"/>
          <w:lang w:val="fr-FR"/>
        </w:rPr>
        <w:t>44 survivantes de VBG ayant bénéficié d’un accompagnement médical et psychosocial ;</w:t>
      </w:r>
    </w:p>
    <w:p w14:paraId="3AFB483C" w14:textId="77777777" w:rsidR="001B58C7" w:rsidRPr="00ED3A8A" w:rsidRDefault="000F0E0E">
      <w:pPr>
        <w:numPr>
          <w:ilvl w:val="0"/>
          <w:numId w:val="4"/>
        </w:numPr>
        <w:spacing w:beforeAutospacing="1" w:afterAutospacing="1" w:line="200" w:lineRule="atLeast"/>
        <w:jc w:val="both"/>
        <w:rPr>
          <w:lang w:val="fr-FR"/>
        </w:rPr>
      </w:pPr>
      <w:r w:rsidRPr="00ED3A8A">
        <w:rPr>
          <w:rFonts w:eastAsia="Segoe UI"/>
          <w:lang w:val="fr-FR"/>
        </w:rPr>
        <w:t>32 personnes libérées suite à des arrestations arbitraires.</w:t>
      </w:r>
    </w:p>
    <w:p w14:paraId="550F0A80" w14:textId="77777777" w:rsidR="001B58C7" w:rsidRPr="00ED3A8A" w:rsidRDefault="000F0E0E">
      <w:pPr>
        <w:pStyle w:val="NormalWeb"/>
        <w:spacing w:line="200" w:lineRule="atLeast"/>
        <w:jc w:val="both"/>
        <w:rPr>
          <w:lang w:val="fr-FR"/>
        </w:rPr>
      </w:pPr>
      <w:r w:rsidRPr="00ED3A8A">
        <w:rPr>
          <w:rStyle w:val="lev"/>
          <w:rFonts w:eastAsia="Segoe UI"/>
          <w:lang w:val="fr-FR"/>
        </w:rPr>
        <w:t>Renforcement des capacités :</w:t>
      </w:r>
      <w:r w:rsidRPr="00ED3A8A">
        <w:rPr>
          <w:rFonts w:eastAsia="Segoe UI"/>
          <w:lang w:val="fr-FR"/>
        </w:rPr>
        <w:t xml:space="preserve"> 80 membres des structures communautaires formés (sur une cible de 160), améliorant leurs compétences en analyse des conflits, référencement des cas et respect des principes de protection.</w:t>
      </w:r>
    </w:p>
    <w:p w14:paraId="3D12AF23" w14:textId="77777777" w:rsidR="001B58C7" w:rsidRPr="00ED3A8A" w:rsidRDefault="000F0E0E">
      <w:pPr>
        <w:pStyle w:val="NormalWeb"/>
        <w:spacing w:line="200" w:lineRule="atLeast"/>
        <w:jc w:val="both"/>
        <w:rPr>
          <w:lang w:val="fr-FR"/>
        </w:rPr>
      </w:pPr>
      <w:r w:rsidRPr="00ED3A8A">
        <w:rPr>
          <w:rStyle w:val="lev"/>
          <w:rFonts w:eastAsia="Segoe UI"/>
          <w:lang w:val="fr-FR"/>
        </w:rPr>
        <w:t>Renforcement institutionnel :</w:t>
      </w:r>
      <w:r w:rsidRPr="00ED3A8A">
        <w:rPr>
          <w:rFonts w:eastAsia="Segoe UI"/>
          <w:lang w:val="fr-FR"/>
        </w:rPr>
        <w:t xml:space="preserve"> 40 agents étatiques formés en mai 2026 et mise à jour des outils opérationnels, contribuant à une meilleure coordination locale.</w:t>
      </w:r>
    </w:p>
    <w:p w14:paraId="10D59501" w14:textId="77777777" w:rsidR="001B58C7" w:rsidRPr="00ED3A8A" w:rsidRDefault="000F0E0E">
      <w:pPr>
        <w:pStyle w:val="NormalWeb"/>
        <w:spacing w:line="200" w:lineRule="atLeast"/>
        <w:jc w:val="both"/>
        <w:rPr>
          <w:lang w:val="fr-FR"/>
        </w:rPr>
      </w:pPr>
      <w:r w:rsidRPr="00ED3A8A">
        <w:rPr>
          <w:rStyle w:val="lev"/>
          <w:rFonts w:eastAsia="Segoe UI"/>
          <w:lang w:val="fr-FR"/>
        </w:rPr>
        <w:t>Cohésion sociale :</w:t>
      </w:r>
      <w:r w:rsidRPr="00ED3A8A">
        <w:rPr>
          <w:rFonts w:eastAsia="Segoe UI"/>
          <w:lang w:val="fr-FR"/>
        </w:rPr>
        <w:t xml:space="preserve"> 19 mécanismes communautaires renforcés, 2 plans de protection actualisés et des processus de pré-dialogue engagés dans plusieurs zones sensibles.</w:t>
      </w:r>
    </w:p>
    <w:p w14:paraId="6CC1FF2F" w14:textId="77777777" w:rsidR="001B58C7" w:rsidRPr="00ED3A8A" w:rsidRDefault="001B58C7">
      <w:pPr>
        <w:spacing w:line="200" w:lineRule="atLeast"/>
        <w:jc w:val="both"/>
        <w:rPr>
          <w:lang w:val="fr-FR"/>
        </w:rPr>
      </w:pPr>
    </w:p>
    <w:p w14:paraId="69679446" w14:textId="77777777" w:rsidR="001B58C7" w:rsidRDefault="000F0E0E">
      <w:pPr>
        <w:pStyle w:val="Titre3"/>
        <w:spacing w:line="200" w:lineRule="atLeast"/>
        <w:jc w:val="both"/>
        <w:rPr>
          <w:rFonts w:ascii="Times New Roman" w:hAnsi="Times New Roman" w:hint="default"/>
          <w:sz w:val="24"/>
          <w:szCs w:val="24"/>
          <w:lang w:val="fr-FR"/>
        </w:rPr>
      </w:pPr>
      <w:r w:rsidRPr="00ED3A8A">
        <w:rPr>
          <w:rFonts w:ascii="Times New Roman" w:hAnsi="Times New Roman" w:hint="default"/>
          <w:sz w:val="24"/>
          <w:szCs w:val="24"/>
          <w:lang w:val="fr-FR"/>
        </w:rPr>
        <w:t>Impact global</w:t>
      </w:r>
      <w:r>
        <w:rPr>
          <w:rFonts w:ascii="Times New Roman" w:hAnsi="Times New Roman" w:hint="default"/>
          <w:sz w:val="24"/>
          <w:szCs w:val="24"/>
          <w:lang w:val="fr-FR"/>
        </w:rPr>
        <w:t xml:space="preserve"> du projet : </w:t>
      </w:r>
    </w:p>
    <w:p w14:paraId="45B03857" w14:textId="77777777" w:rsidR="001B58C7" w:rsidRPr="00ED3A8A" w:rsidRDefault="000F0E0E">
      <w:pPr>
        <w:pStyle w:val="NormalWeb"/>
        <w:spacing w:line="200" w:lineRule="atLeast"/>
        <w:jc w:val="both"/>
        <w:rPr>
          <w:lang w:val="fr-FR"/>
        </w:rPr>
      </w:pPr>
      <w:r w:rsidRPr="00ED3A8A">
        <w:rPr>
          <w:rFonts w:eastAsia="Segoe UI"/>
          <w:lang w:val="fr-FR"/>
        </w:rPr>
        <w:t>Dans l’ensemble des zones d’intervention, le projet a contribué à :</w:t>
      </w:r>
    </w:p>
    <w:p w14:paraId="146E4590" w14:textId="77777777" w:rsidR="001B58C7" w:rsidRPr="00ED3A8A" w:rsidRDefault="000F0E0E">
      <w:pPr>
        <w:numPr>
          <w:ilvl w:val="0"/>
          <w:numId w:val="4"/>
        </w:numPr>
        <w:spacing w:beforeAutospacing="1" w:afterAutospacing="1" w:line="200" w:lineRule="atLeast"/>
        <w:jc w:val="both"/>
        <w:rPr>
          <w:lang w:val="fr-FR"/>
        </w:rPr>
      </w:pPr>
      <w:proofErr w:type="gramStart"/>
      <w:r w:rsidRPr="00ED3A8A">
        <w:rPr>
          <w:rFonts w:eastAsia="Segoe UI"/>
          <w:lang w:val="fr-FR"/>
        </w:rPr>
        <w:t>renforcer</w:t>
      </w:r>
      <w:proofErr w:type="gramEnd"/>
      <w:r w:rsidRPr="00ED3A8A">
        <w:rPr>
          <w:rFonts w:eastAsia="Segoe UI"/>
          <w:lang w:val="fr-FR"/>
        </w:rPr>
        <w:t xml:space="preserve"> les capacités institutionnelles et communautaires ;</w:t>
      </w:r>
    </w:p>
    <w:p w14:paraId="656F64A0" w14:textId="77777777" w:rsidR="001B58C7" w:rsidRPr="00ED3A8A" w:rsidRDefault="000F0E0E">
      <w:pPr>
        <w:numPr>
          <w:ilvl w:val="0"/>
          <w:numId w:val="4"/>
        </w:numPr>
        <w:spacing w:beforeAutospacing="1" w:afterAutospacing="1" w:line="200" w:lineRule="atLeast"/>
        <w:jc w:val="both"/>
        <w:rPr>
          <w:lang w:val="fr-FR"/>
        </w:rPr>
      </w:pPr>
      <w:proofErr w:type="gramStart"/>
      <w:r w:rsidRPr="00ED3A8A">
        <w:rPr>
          <w:rFonts w:eastAsia="Segoe UI"/>
          <w:lang w:val="fr-FR"/>
        </w:rPr>
        <w:t>améliorer</w:t>
      </w:r>
      <w:proofErr w:type="gramEnd"/>
      <w:r w:rsidRPr="00ED3A8A">
        <w:rPr>
          <w:rFonts w:eastAsia="Segoe UI"/>
          <w:lang w:val="fr-FR"/>
        </w:rPr>
        <w:t xml:space="preserve"> l’accès effectif à la justice, notamment pour les populations vulnérables ;</w:t>
      </w:r>
    </w:p>
    <w:p w14:paraId="7D743A9E" w14:textId="77777777" w:rsidR="001B58C7" w:rsidRPr="00ED3A8A" w:rsidRDefault="000F0E0E">
      <w:pPr>
        <w:numPr>
          <w:ilvl w:val="0"/>
          <w:numId w:val="4"/>
        </w:numPr>
        <w:spacing w:beforeAutospacing="1" w:afterAutospacing="1" w:line="200" w:lineRule="atLeast"/>
        <w:jc w:val="both"/>
        <w:rPr>
          <w:lang w:val="fr-FR"/>
        </w:rPr>
      </w:pPr>
      <w:proofErr w:type="gramStart"/>
      <w:r w:rsidRPr="00ED3A8A">
        <w:rPr>
          <w:rFonts w:eastAsia="Segoe UI"/>
          <w:lang w:val="fr-FR"/>
        </w:rPr>
        <w:t>structurer</w:t>
      </w:r>
      <w:proofErr w:type="gramEnd"/>
      <w:r w:rsidRPr="00ED3A8A">
        <w:rPr>
          <w:rFonts w:eastAsia="Segoe UI"/>
          <w:lang w:val="fr-FR"/>
        </w:rPr>
        <w:t xml:space="preserve"> les bases d’un mécanisme crédible de justice transitionnelle ;</w:t>
      </w:r>
    </w:p>
    <w:p w14:paraId="6EF9C033" w14:textId="77777777" w:rsidR="001B58C7" w:rsidRPr="00ED3A8A" w:rsidRDefault="000F0E0E">
      <w:pPr>
        <w:numPr>
          <w:ilvl w:val="0"/>
          <w:numId w:val="4"/>
        </w:numPr>
        <w:spacing w:beforeAutospacing="1" w:afterAutospacing="1" w:line="200" w:lineRule="atLeast"/>
        <w:jc w:val="both"/>
        <w:rPr>
          <w:lang w:val="fr-FR"/>
        </w:rPr>
      </w:pPr>
      <w:r w:rsidRPr="00ED3A8A">
        <w:rPr>
          <w:rFonts w:eastAsia="Segoe UI"/>
          <w:lang w:val="fr-FR"/>
        </w:rPr>
        <w:t>consolider la prévention des conflits et la cohésion sociale.</w:t>
      </w:r>
    </w:p>
    <w:p w14:paraId="7E4F47A7" w14:textId="77777777" w:rsidR="001B58C7" w:rsidRDefault="000F0E0E">
      <w:pPr>
        <w:pStyle w:val="NormalWeb"/>
        <w:spacing w:line="200" w:lineRule="atLeast"/>
        <w:jc w:val="both"/>
        <w:rPr>
          <w:u w:val="single"/>
          <w:lang w:val="fr-FR"/>
        </w:rPr>
      </w:pPr>
      <w:r w:rsidRPr="00ED3A8A">
        <w:rPr>
          <w:rFonts w:eastAsia="Segoe UI"/>
          <w:u w:val="single"/>
          <w:lang w:val="fr-FR"/>
        </w:rPr>
        <w:t>Malgré un contexte opérationnel contraint, ces avancées démontrent la pertinence de l’approche intégrée du projet et sa contribution aux dynamiques provinciales et nationales de réforme de la justice et de consolidation de la paix</w:t>
      </w:r>
      <w:r>
        <w:rPr>
          <w:rFonts w:eastAsia="Segoe UI"/>
          <w:u w:val="single"/>
          <w:lang w:val="fr-FR"/>
        </w:rPr>
        <w:t>.</w:t>
      </w:r>
    </w:p>
    <w:p w14:paraId="427CDDDC" w14:textId="77777777" w:rsidR="001B58C7" w:rsidRDefault="001B58C7">
      <w:pPr>
        <w:ind w:left="-360"/>
        <w:rPr>
          <w:b/>
          <w:bCs/>
          <w:lang w:val="fr-FR"/>
        </w:rPr>
      </w:pPr>
    </w:p>
    <w:p w14:paraId="4B581511" w14:textId="77777777" w:rsidR="001B58C7" w:rsidRDefault="000F0E0E">
      <w:pPr>
        <w:ind w:left="-360"/>
        <w:jc w:val="both"/>
        <w:rPr>
          <w:b/>
          <w:bCs/>
          <w:lang w:val="fr-FR"/>
        </w:rPr>
      </w:pPr>
      <w:r>
        <w:rPr>
          <w:i/>
          <w:iCs/>
          <w:lang w:val="fr-FR" w:eastAsia="en-US"/>
        </w:rPr>
        <w:t>Indiquez toute analyse supplémentaire sur la manière dont l'égalité entre les sexes et l'autonomisation des femmes et / ou l'inclusion et la réactivité aux besoins des jeunes ont été assurées dans le cadre de ce résultat</w:t>
      </w:r>
      <w:r>
        <w:rPr>
          <w:b/>
          <w:bCs/>
          <w:lang w:val="fr-FR"/>
        </w:rPr>
        <w:t xml:space="preserve"> </w:t>
      </w:r>
      <w:r>
        <w:rPr>
          <w:i/>
          <w:iCs/>
          <w:lang w:val="fr-FR"/>
        </w:rPr>
        <w:t>(3000 caractères)</w:t>
      </w:r>
      <w:r>
        <w:rPr>
          <w:lang w:val="fr-FR"/>
        </w:rPr>
        <w:t xml:space="preserve"> :</w:t>
      </w:r>
    </w:p>
    <w:p w14:paraId="0D2D0658" w14:textId="77777777" w:rsidR="001B58C7" w:rsidRDefault="000F0E0E">
      <w:pPr>
        <w:pStyle w:val="NormalWeb"/>
        <w:spacing w:line="200" w:lineRule="atLeast"/>
        <w:ind w:left="-360"/>
        <w:jc w:val="both"/>
        <w:rPr>
          <w:lang w:val="fr-FR"/>
        </w:rPr>
      </w:pPr>
      <w:r>
        <w:rPr>
          <w:rFonts w:eastAsia="Segoe UI"/>
          <w:lang w:val="fr-FR"/>
        </w:rPr>
        <w:t>L’analyse des actions mises en œuvre met en évidence une intégration progressive et mesurable des dimensions genre et inclusion des jeunes, conformément aux standards S</w:t>
      </w:r>
      <w:r>
        <w:rPr>
          <w:rFonts w:eastAsia="Segoe UI"/>
          <w:lang w:val="fr-FR"/>
        </w:rPr>
        <w:noBreakHyphen/>
        <w:t xml:space="preserve">PBF (Gender Marker). Les résultats indiquent une orientation effective vers une approche sensible au genre, avec des éléments proches d’un </w:t>
      </w:r>
      <w:r>
        <w:rPr>
          <w:rStyle w:val="lev"/>
          <w:rFonts w:eastAsia="Segoe UI"/>
          <w:lang w:val="fr-FR"/>
        </w:rPr>
        <w:t>Gender Marker 2 (intégration significative)</w:t>
      </w:r>
      <w:r>
        <w:rPr>
          <w:rFonts w:eastAsia="Segoe UI"/>
          <w:lang w:val="fr-FR"/>
        </w:rPr>
        <w:t>.</w:t>
      </w:r>
    </w:p>
    <w:p w14:paraId="1359174B" w14:textId="77777777" w:rsidR="001B58C7" w:rsidRDefault="000F0E0E">
      <w:pPr>
        <w:pStyle w:val="NormalWeb"/>
        <w:spacing w:line="200" w:lineRule="atLeast"/>
        <w:ind w:left="-360"/>
        <w:jc w:val="both"/>
        <w:rPr>
          <w:lang w:val="fr-FR"/>
        </w:rPr>
      </w:pPr>
      <w:r>
        <w:rPr>
          <w:rFonts w:eastAsia="Segoe UI"/>
          <w:lang w:val="fr-FR"/>
        </w:rPr>
        <w:t xml:space="preserve">Dans le cadre du </w:t>
      </w:r>
      <w:r>
        <w:rPr>
          <w:rStyle w:val="lev"/>
          <w:rFonts w:eastAsia="Segoe UI"/>
          <w:lang w:val="fr-FR"/>
        </w:rPr>
        <w:t>Résultat 2</w:t>
      </w:r>
      <w:r>
        <w:rPr>
          <w:rFonts w:eastAsia="Segoe UI"/>
          <w:lang w:val="fr-FR"/>
        </w:rPr>
        <w:t xml:space="preserve">, les efforts ont permis de réduire les inégalités d’accès à la justice. L’indicateur clé relatif à l’accès des femmes montre que </w:t>
      </w:r>
      <w:r>
        <w:rPr>
          <w:rStyle w:val="lev"/>
          <w:rFonts w:eastAsia="Segoe UI"/>
          <w:lang w:val="fr-FR"/>
        </w:rPr>
        <w:t>60 % des 145 victimes bénéficiant d’une assistance judiciaire gratuite sont des femmes et des filles</w:t>
      </w:r>
      <w:r>
        <w:rPr>
          <w:rFonts w:eastAsia="Segoe UI"/>
          <w:lang w:val="fr-FR"/>
        </w:rPr>
        <w:t xml:space="preserve">, traduisant une priorisation effective des groupes les plus vulnérables. Cette assistance, fournie lors des audiences foraines à </w:t>
      </w:r>
      <w:proofErr w:type="spellStart"/>
      <w:r>
        <w:rPr>
          <w:rFonts w:eastAsia="Segoe UI"/>
          <w:lang w:val="fr-FR"/>
        </w:rPr>
        <w:t>Lukuaya</w:t>
      </w:r>
      <w:proofErr w:type="spellEnd"/>
      <w:r>
        <w:rPr>
          <w:rFonts w:eastAsia="Segoe UI"/>
          <w:lang w:val="fr-FR"/>
        </w:rPr>
        <w:t>, a garanti non seulement l’accès à la justice mais aussi le respect des droits des prévenus, renforçant ainsi l’équité du processus ju</w:t>
      </w:r>
      <w:r>
        <w:rPr>
          <w:rFonts w:eastAsia="Segoe UI"/>
          <w:lang w:val="fr-FR"/>
        </w:rPr>
        <w:t>diciaire.</w:t>
      </w:r>
    </w:p>
    <w:p w14:paraId="5BDF49FF" w14:textId="77777777" w:rsidR="001B58C7" w:rsidRDefault="000F0E0E">
      <w:pPr>
        <w:pStyle w:val="NormalWeb"/>
        <w:spacing w:line="200" w:lineRule="atLeast"/>
        <w:ind w:left="-360"/>
        <w:jc w:val="both"/>
        <w:rPr>
          <w:lang w:val="fr-FR"/>
        </w:rPr>
      </w:pPr>
      <w:r>
        <w:rPr>
          <w:rFonts w:eastAsia="Segoe UI"/>
          <w:lang w:val="fr-FR"/>
        </w:rPr>
        <w:t>Les activités de sensibilisation constituent un autre indicateur qualitatif important : elles ont permis d’accroître la participation effective des femmes et des jeunes aux audiences et aux processus judiciaires. Bien que désagrégation systématique par âge reste limitée, les observations qualitatives indiquent une participation accrue des jeunes, facilitée par la justice de proximité.</w:t>
      </w:r>
    </w:p>
    <w:p w14:paraId="2026ACDB" w14:textId="77777777" w:rsidR="001B58C7" w:rsidRDefault="000F0E0E">
      <w:pPr>
        <w:pStyle w:val="NormalWeb"/>
        <w:spacing w:line="200" w:lineRule="atLeast"/>
        <w:ind w:left="-360"/>
        <w:jc w:val="both"/>
        <w:rPr>
          <w:lang w:val="fr-FR"/>
        </w:rPr>
      </w:pPr>
      <w:r>
        <w:rPr>
          <w:rFonts w:eastAsia="Segoe UI"/>
          <w:lang w:val="fr-FR"/>
        </w:rPr>
        <w:t xml:space="preserve">Au niveau du </w:t>
      </w:r>
      <w:r>
        <w:rPr>
          <w:rStyle w:val="lev"/>
          <w:rFonts w:eastAsia="Segoe UI"/>
          <w:lang w:val="fr-FR"/>
        </w:rPr>
        <w:t>Résultat 1</w:t>
      </w:r>
      <w:r>
        <w:rPr>
          <w:rFonts w:eastAsia="Segoe UI"/>
          <w:lang w:val="fr-FR"/>
        </w:rPr>
        <w:t xml:space="preserve">, les indicateurs de renforcement des capacités montrent une inclusion partielle mais croissante des femmes, avec </w:t>
      </w:r>
      <w:r>
        <w:rPr>
          <w:rStyle w:val="lev"/>
          <w:rFonts w:eastAsia="Segoe UI"/>
          <w:lang w:val="fr-FR"/>
        </w:rPr>
        <w:t>11 femmes sur 40 participants dont les commissaires et les enquêteurs formés (27,5 %)</w:t>
      </w:r>
      <w:r>
        <w:rPr>
          <w:rFonts w:eastAsia="Segoe UI"/>
          <w:lang w:val="fr-FR"/>
        </w:rPr>
        <w:t>. Les modules de formation ont intégré des thématiques liées aux violences sexuelles et aux vulnérabilités spécifiques, constituant un indicateur qualitatif d’intégration du genre dans les contenus techniques. En outre, les mécanismes de collecte des dépositions incluent désormais la documentation spéc</w:t>
      </w:r>
      <w:r>
        <w:rPr>
          <w:rFonts w:eastAsia="Segoe UI"/>
          <w:lang w:val="fr-FR"/>
        </w:rPr>
        <w:t>ifique des violations affectant les femmes et les jeunes, avec référencement vers des services spécialisés.</w:t>
      </w:r>
    </w:p>
    <w:p w14:paraId="06C212A5" w14:textId="77777777" w:rsidR="001B58C7" w:rsidRDefault="000F0E0E">
      <w:pPr>
        <w:pStyle w:val="NormalWeb"/>
        <w:spacing w:line="200" w:lineRule="atLeast"/>
        <w:ind w:left="-360"/>
        <w:jc w:val="both"/>
        <w:rPr>
          <w:lang w:val="fr-FR"/>
        </w:rPr>
      </w:pPr>
      <w:r>
        <w:rPr>
          <w:rFonts w:eastAsia="Segoe UI"/>
          <w:lang w:val="fr-FR"/>
        </w:rPr>
        <w:t xml:space="preserve">Concernant le </w:t>
      </w:r>
      <w:r>
        <w:rPr>
          <w:rStyle w:val="lev"/>
          <w:rFonts w:eastAsia="Segoe UI"/>
          <w:lang w:val="fr-FR"/>
        </w:rPr>
        <w:t>Résultat 3</w:t>
      </w:r>
      <w:r>
        <w:rPr>
          <w:rFonts w:eastAsia="Segoe UI"/>
          <w:lang w:val="fr-FR"/>
        </w:rPr>
        <w:t>, plusieurs indicateurs illustrent les progrès réalisés :</w:t>
      </w:r>
    </w:p>
    <w:p w14:paraId="5E52098C" w14:textId="77777777" w:rsidR="001B58C7" w:rsidRDefault="000F0E0E">
      <w:pPr>
        <w:numPr>
          <w:ilvl w:val="0"/>
          <w:numId w:val="5"/>
        </w:numPr>
        <w:spacing w:beforeAutospacing="1" w:afterAutospacing="1" w:line="200" w:lineRule="atLeast"/>
        <w:ind w:left="0"/>
        <w:jc w:val="both"/>
        <w:rPr>
          <w:lang w:val="fr-FR"/>
        </w:rPr>
      </w:pPr>
      <w:r>
        <w:rPr>
          <w:rStyle w:val="lev"/>
          <w:rFonts w:eastAsia="Segoe UI"/>
          <w:lang w:val="fr-FR"/>
        </w:rPr>
        <w:t>80 acteurs communautaires formés</w:t>
      </w:r>
      <w:r>
        <w:rPr>
          <w:rFonts w:eastAsia="Segoe UI"/>
          <w:lang w:val="fr-FR"/>
        </w:rPr>
        <w:t>, incluant la sensibilité au genre et l’approche centrée sur les survivants ;</w:t>
      </w:r>
    </w:p>
    <w:p w14:paraId="0C453640" w14:textId="77777777" w:rsidR="001B58C7" w:rsidRDefault="000F0E0E">
      <w:pPr>
        <w:numPr>
          <w:ilvl w:val="0"/>
          <w:numId w:val="5"/>
        </w:numPr>
        <w:spacing w:beforeAutospacing="1" w:afterAutospacing="1" w:line="200" w:lineRule="atLeast"/>
        <w:ind w:left="0"/>
        <w:jc w:val="both"/>
        <w:rPr>
          <w:lang w:val="fr-FR"/>
        </w:rPr>
      </w:pPr>
      <w:r>
        <w:rPr>
          <w:rStyle w:val="lev"/>
          <w:rFonts w:eastAsia="Segoe UI"/>
          <w:lang w:val="fr-FR"/>
        </w:rPr>
        <w:t>76 victimes assistées</w:t>
      </w:r>
      <w:r>
        <w:rPr>
          <w:rFonts w:eastAsia="Segoe UI"/>
          <w:lang w:val="fr-FR"/>
        </w:rPr>
        <w:t>, dont une proportion significative de survivantes de VBG (44 cas) ;</w:t>
      </w:r>
    </w:p>
    <w:p w14:paraId="563EE86D" w14:textId="77777777" w:rsidR="001B58C7" w:rsidRDefault="000F0E0E">
      <w:pPr>
        <w:numPr>
          <w:ilvl w:val="0"/>
          <w:numId w:val="5"/>
        </w:numPr>
        <w:spacing w:beforeAutospacing="1" w:afterAutospacing="1" w:line="200" w:lineRule="atLeast"/>
        <w:ind w:left="0"/>
        <w:jc w:val="both"/>
        <w:rPr>
          <w:lang w:val="fr-FR"/>
        </w:rPr>
      </w:pPr>
      <w:r>
        <w:rPr>
          <w:rStyle w:val="lev"/>
          <w:rFonts w:eastAsia="Segoe UI"/>
          <w:lang w:val="fr-FR"/>
        </w:rPr>
        <w:lastRenderedPageBreak/>
        <w:t>713 incidents de protection documentés</w:t>
      </w:r>
      <w:r>
        <w:rPr>
          <w:rFonts w:eastAsia="Segoe UI"/>
          <w:lang w:val="fr-FR"/>
        </w:rPr>
        <w:t>, dont 141 cas de VBG, permettant une meilleure prise en compte des risques spécifiques pour les femmes et les filles.</w:t>
      </w:r>
    </w:p>
    <w:p w14:paraId="466779C2" w14:textId="77777777" w:rsidR="001B58C7" w:rsidRDefault="000F0E0E">
      <w:pPr>
        <w:pStyle w:val="NormalWeb"/>
        <w:spacing w:line="200" w:lineRule="atLeast"/>
        <w:ind w:left="-360"/>
        <w:jc w:val="both"/>
        <w:rPr>
          <w:lang w:val="fr-FR"/>
        </w:rPr>
      </w:pPr>
      <w:r>
        <w:rPr>
          <w:rFonts w:eastAsia="Segoe UI"/>
          <w:lang w:val="fr-FR"/>
        </w:rPr>
        <w:t>Ces données traduisent une amélioration du système de réponse aux violences basées sur le genre et une intégration du genre dans les mécanismes d’alerte et de protection.</w:t>
      </w:r>
    </w:p>
    <w:p w14:paraId="0AB6F15B" w14:textId="77777777" w:rsidR="001B58C7" w:rsidRDefault="000F0E0E">
      <w:pPr>
        <w:pStyle w:val="NormalWeb"/>
        <w:ind w:left="-360"/>
        <w:jc w:val="both"/>
        <w:rPr>
          <w:b/>
          <w:lang w:val="fr-FR"/>
        </w:rPr>
      </w:pPr>
      <w:r>
        <w:rPr>
          <w:rFonts w:eastAsia="Segoe UI"/>
          <w:lang w:val="fr-FR"/>
        </w:rPr>
        <w:t xml:space="preserve">En conclusion, le projet démontre des avancées mesurables en matière d’égalité de genre, notamment en termes d’accès à la justice, de participation et de prise en charge des survivantes de VBG. </w:t>
      </w:r>
    </w:p>
    <w:p w14:paraId="2755D66C" w14:textId="77777777" w:rsidR="001B58C7" w:rsidRDefault="000F0E0E">
      <w:pPr>
        <w:ind w:hanging="360"/>
        <w:rPr>
          <w:lang w:val="fr-FR"/>
        </w:rPr>
      </w:pPr>
      <w:r>
        <w:rPr>
          <w:lang w:val="fr-FR"/>
        </w:rPr>
        <w:t xml:space="preserve">Le projet est-il en cours de mise en œuvre depuis 1+ an ? </w:t>
      </w:r>
      <w:r>
        <w:rPr>
          <w:b/>
          <w:bCs/>
          <w:color w:val="0000FF"/>
          <w:lang w:val="fr-FR"/>
        </w:rPr>
        <w:t>OUI.</w:t>
      </w:r>
    </w:p>
    <w:p w14:paraId="230FC713" w14:textId="77777777" w:rsidR="001B58C7" w:rsidRDefault="001B58C7">
      <w:pPr>
        <w:ind w:hanging="360"/>
        <w:rPr>
          <w:b/>
          <w:lang w:val="fr-FR"/>
        </w:rPr>
      </w:pPr>
    </w:p>
    <w:p w14:paraId="2F54F593" w14:textId="77777777" w:rsidR="001B58C7" w:rsidRDefault="000F0E0E">
      <w:pPr>
        <w:ind w:hanging="360"/>
        <w:rPr>
          <w:b/>
          <w:bCs/>
          <w:color w:val="4472C4" w:themeColor="accent1"/>
          <w:u w:val="single"/>
          <w:lang w:val="fr-FR"/>
        </w:rPr>
      </w:pPr>
      <w:r>
        <w:rPr>
          <w:b/>
          <w:bCs/>
          <w:color w:val="4472C4" w:themeColor="accent1"/>
          <w:u w:val="single"/>
          <w:lang w:val="fr-FR"/>
        </w:rPr>
        <w:t>POUR LES PROJETS DE 1+ AN EN COURS DE MISE EN ŒUVRE UNIQUEMENT :</w:t>
      </w:r>
    </w:p>
    <w:p w14:paraId="695DE1CA" w14:textId="77777777" w:rsidR="001B58C7" w:rsidRDefault="001B58C7">
      <w:pPr>
        <w:ind w:hanging="360"/>
        <w:rPr>
          <w:b/>
          <w:bCs/>
          <w:color w:val="4472C4" w:themeColor="accent1"/>
          <w:u w:val="single"/>
          <w:lang w:val="fr-FR"/>
        </w:rPr>
      </w:pPr>
    </w:p>
    <w:p w14:paraId="51ABF6F8" w14:textId="77777777" w:rsidR="001B58C7" w:rsidRDefault="000F0E0E">
      <w:pPr>
        <w:ind w:hanging="360"/>
        <w:rPr>
          <w:lang w:val="fr-FR"/>
        </w:rPr>
      </w:pPr>
      <w:r>
        <w:rPr>
          <w:b/>
          <w:bCs/>
          <w:lang w:val="fr-FR"/>
        </w:rPr>
        <w:t>Le projet démontre-t-il des résultats (</w:t>
      </w:r>
      <w:proofErr w:type="spellStart"/>
      <w:r>
        <w:rPr>
          <w:b/>
          <w:bCs/>
          <w:lang w:val="fr-FR"/>
        </w:rPr>
        <w:t>outcome</w:t>
      </w:r>
      <w:proofErr w:type="spellEnd"/>
      <w:r>
        <w:rPr>
          <w:b/>
          <w:bCs/>
          <w:lang w:val="fr-FR"/>
        </w:rPr>
        <w:t>) en matière de consolidation de la paix ?</w:t>
      </w:r>
    </w:p>
    <w:p w14:paraId="4D2E7A36" w14:textId="77777777" w:rsidR="001B58C7" w:rsidRDefault="001B58C7">
      <w:pPr>
        <w:ind w:hanging="360"/>
        <w:rPr>
          <w:b/>
          <w:bCs/>
          <w:u w:val="single"/>
          <w:lang w:val="fr-FR"/>
        </w:rPr>
      </w:pPr>
    </w:p>
    <w:p w14:paraId="0B133599" w14:textId="77777777" w:rsidR="001B58C7" w:rsidRDefault="000F0E0E">
      <w:pPr>
        <w:ind w:hanging="360"/>
        <w:rPr>
          <w:b/>
          <w:bCs/>
          <w:u w:val="single"/>
          <w:lang w:val="fr-FR"/>
        </w:rPr>
      </w:pPr>
      <w:r>
        <w:rPr>
          <w:b/>
          <w:bCs/>
          <w:u w:val="single"/>
          <w:lang w:val="fr-FR"/>
        </w:rPr>
        <w:t>OUI.</w:t>
      </w:r>
    </w:p>
    <w:p w14:paraId="7AFBE919" w14:textId="77777777" w:rsidR="001B58C7" w:rsidRDefault="001B58C7">
      <w:pPr>
        <w:ind w:hanging="360"/>
        <w:rPr>
          <w:b/>
          <w:bCs/>
          <w:u w:val="single"/>
          <w:lang w:val="fr-FR"/>
        </w:rPr>
      </w:pPr>
    </w:p>
    <w:p w14:paraId="2D2A5EF7" w14:textId="77777777" w:rsidR="001B58C7" w:rsidRDefault="000F0E0E">
      <w:pPr>
        <w:ind w:left="-360"/>
        <w:rPr>
          <w:i/>
          <w:iCs/>
          <w:lang w:val="fr-FR"/>
        </w:rPr>
      </w:pPr>
      <w:r>
        <w:rPr>
          <w:i/>
          <w:iCs/>
          <w:lang w:val="fr-FR"/>
        </w:rPr>
        <w:t>Au niveau des résultats (</w:t>
      </w:r>
      <w:proofErr w:type="spellStart"/>
      <w:r>
        <w:rPr>
          <w:i/>
          <w:iCs/>
          <w:lang w:val="fr-FR"/>
        </w:rPr>
        <w:t>outcome</w:t>
      </w:r>
      <w:proofErr w:type="spellEnd"/>
      <w:r>
        <w:rPr>
          <w:i/>
          <w:iCs/>
          <w:lang w:val="fr-FR"/>
        </w:rPr>
        <w:t>) de la consolidation de la paix, y-a-t-il des résultats obtenus au niveau sociétal ou structurel, y compris des changements d’attitudes, de comportements ou d’institutions.</w:t>
      </w:r>
    </w:p>
    <w:p w14:paraId="4D89FF5F" w14:textId="77777777" w:rsidR="001B58C7" w:rsidRDefault="001B58C7">
      <w:pPr>
        <w:ind w:hanging="360"/>
        <w:rPr>
          <w:i/>
          <w:iCs/>
          <w:lang w:val="fr-FR"/>
        </w:rPr>
      </w:pPr>
    </w:p>
    <w:p w14:paraId="4216D0F4" w14:textId="77777777" w:rsidR="001B58C7" w:rsidRDefault="000F0E0E">
      <w:pPr>
        <w:ind w:left="-360"/>
        <w:rPr>
          <w:lang w:val="fr-FR"/>
        </w:rPr>
      </w:pPr>
      <w:r>
        <w:rPr>
          <w:i/>
          <w:iCs/>
          <w:lang w:val="fr-FR"/>
        </w:rPr>
        <w:t>Dans l’affirmative, veuillez fournir des exemples de résultats concrets en matière de consolidation de la paix</w:t>
      </w:r>
      <w:r>
        <w:rPr>
          <w:lang w:val="fr-FR"/>
        </w:rPr>
        <w:t xml:space="preserve"> </w:t>
      </w:r>
      <w:r>
        <w:rPr>
          <w:i/>
          <w:iCs/>
          <w:lang w:val="fr-FR"/>
        </w:rPr>
        <w:t>(6000 caractères)</w:t>
      </w:r>
      <w:r>
        <w:rPr>
          <w:lang w:val="fr-FR"/>
        </w:rPr>
        <w:t xml:space="preserve"> :</w:t>
      </w:r>
    </w:p>
    <w:p w14:paraId="005AFAA2" w14:textId="77777777" w:rsidR="001B58C7" w:rsidRDefault="001B58C7">
      <w:pPr>
        <w:ind w:left="-360"/>
        <w:rPr>
          <w:lang w:val="fr-FR"/>
        </w:rPr>
      </w:pPr>
    </w:p>
    <w:p w14:paraId="3D4DD219" w14:textId="77777777" w:rsidR="001B58C7" w:rsidRDefault="000F0E0E">
      <w:pPr>
        <w:ind w:left="-360"/>
        <w:jc w:val="both"/>
        <w:rPr>
          <w:rFonts w:eastAsia="DengXian"/>
          <w:kern w:val="2"/>
          <w:u w:val="single"/>
          <w:lang w:val="fr" w:eastAsia="zh-CN" w:bidi="ar"/>
        </w:rPr>
      </w:pPr>
      <w:r>
        <w:rPr>
          <w:rFonts w:eastAsia="DengXian"/>
          <w:kern w:val="2"/>
          <w:u w:val="single"/>
          <w:lang w:val="fr" w:eastAsia="zh-CN" w:bidi="ar"/>
        </w:rPr>
        <w:t>Oui, le projet PROJUST démontre des résultats significatifs en matière de consolidation de la paix, tant au niveau structurel qu’au niveau sociétal.</w:t>
      </w:r>
    </w:p>
    <w:p w14:paraId="6D81DA3A" w14:textId="77777777" w:rsidR="001B58C7" w:rsidRDefault="001B58C7">
      <w:pPr>
        <w:ind w:left="-360"/>
        <w:jc w:val="both"/>
        <w:rPr>
          <w:rFonts w:eastAsia="DengXian"/>
          <w:kern w:val="2"/>
          <w:u w:val="single"/>
          <w:lang w:val="fr-FR" w:eastAsia="zh-CN" w:bidi="ar"/>
        </w:rPr>
      </w:pPr>
    </w:p>
    <w:p w14:paraId="299DE6CC" w14:textId="77777777" w:rsidR="001B58C7" w:rsidRDefault="000F0E0E">
      <w:pPr>
        <w:ind w:left="-360"/>
        <w:jc w:val="both"/>
        <w:rPr>
          <w:rFonts w:eastAsia="DengXian"/>
          <w:kern w:val="2"/>
          <w:lang w:val="fr" w:eastAsia="zh-CN" w:bidi="ar"/>
        </w:rPr>
      </w:pPr>
      <w:r>
        <w:rPr>
          <w:rFonts w:eastAsia="DengXian"/>
          <w:kern w:val="2"/>
          <w:lang w:val="fr" w:eastAsia="zh-CN" w:bidi="ar"/>
        </w:rPr>
        <w:t>Les progrès observés traduisent des transformations réelles dans les relations entre les citoyens, les institutions et les mécanismes de gestion des conflits, contribuant à renforcer la stabilité et la cohésion sociale dans les zones d’intervention.</w:t>
      </w:r>
    </w:p>
    <w:p w14:paraId="29ABE02D" w14:textId="77777777" w:rsidR="001B58C7" w:rsidRDefault="001B58C7">
      <w:pPr>
        <w:ind w:left="-360"/>
        <w:jc w:val="both"/>
        <w:rPr>
          <w:rFonts w:eastAsia="DengXian"/>
          <w:kern w:val="2"/>
          <w:lang w:val="fr" w:eastAsia="zh-CN" w:bidi="ar"/>
        </w:rPr>
      </w:pPr>
    </w:p>
    <w:p w14:paraId="41C3DD70" w14:textId="77777777" w:rsidR="001B58C7" w:rsidRDefault="000F0E0E">
      <w:pPr>
        <w:numPr>
          <w:ilvl w:val="0"/>
          <w:numId w:val="6"/>
        </w:numPr>
        <w:spacing w:after="160" w:line="276" w:lineRule="auto"/>
        <w:jc w:val="both"/>
        <w:rPr>
          <w:lang w:val="fr"/>
        </w:rPr>
      </w:pPr>
      <w:r>
        <w:rPr>
          <w:rFonts w:eastAsia="DengXian"/>
          <w:b/>
          <w:bCs/>
          <w:kern w:val="2"/>
          <w:lang w:val="fr" w:eastAsia="zh-CN" w:bidi="ar"/>
        </w:rPr>
        <w:t>Résultats au niveau structurel : renforcement des institutions et des mécanismes de paix</w:t>
      </w:r>
      <w:r>
        <w:rPr>
          <w:rFonts w:eastAsia="DengXian"/>
          <w:kern w:val="2"/>
          <w:lang w:val="fr" w:eastAsia="zh-CN" w:bidi="ar"/>
        </w:rPr>
        <w:br/>
        <w:t>Le projet a contribué à améliorer le fonctionnement des institutions judiciaires et des mécanismes de gouvernance, consolidant ainsi les bases d’un système plus efficace et inclusif.</w:t>
      </w:r>
      <w:r>
        <w:rPr>
          <w:rFonts w:eastAsia="DengXian"/>
          <w:kern w:val="2"/>
          <w:lang w:val="fr" w:eastAsia="zh-CN" w:bidi="ar"/>
        </w:rPr>
        <w:br/>
        <w:t>La mise en place et l’opérationnalisation de cadres de concertation multi-acteurs (Comités Techniques Provinciaux, cadres judiciaires, société civile, CNDH, barreaux, CPVJR) ont permis d’institutionnaliser des espaces de dialogue, de coordination et de prise de décision conjointe. Ces cadres ont renforcé la cohérence des inter</w:t>
      </w:r>
      <w:r>
        <w:rPr>
          <w:rFonts w:eastAsia="DengXian"/>
          <w:kern w:val="2"/>
          <w:lang w:val="fr" w:eastAsia="zh-CN" w:bidi="ar"/>
        </w:rPr>
        <w:t>ventions et réduit les duplications.</w:t>
      </w:r>
      <w:r>
        <w:rPr>
          <w:rFonts w:eastAsia="DengXian"/>
          <w:kern w:val="2"/>
          <w:lang w:val="fr" w:eastAsia="zh-CN" w:bidi="ar"/>
        </w:rPr>
        <w:br/>
        <w:t>Le renforcement des capacités des magistrats, avocats et autres professionnels de la justice a amélioré la qualité des procédures, notamment à travers une meilleure intégration des standards des droits humains et une prise en compte accrue des besoins des victimes.</w:t>
      </w:r>
      <w:r>
        <w:rPr>
          <w:rFonts w:eastAsia="DengXian"/>
          <w:kern w:val="2"/>
          <w:lang w:val="fr" w:eastAsia="zh-CN" w:bidi="ar"/>
        </w:rPr>
        <w:br/>
        <w:t>Par ailleurs, l’intégration progressive d’une approche sensible au genre dans la priorisation des poursuites reflète une évolution positive des pratiques institutionnelles.</w:t>
      </w:r>
      <w:r>
        <w:rPr>
          <w:rFonts w:eastAsia="DengXian"/>
          <w:kern w:val="2"/>
          <w:lang w:val="fr" w:eastAsia="zh-CN" w:bidi="ar"/>
        </w:rPr>
        <w:br/>
        <w:t xml:space="preserve">Enfin, le déploiement de mécanismes </w:t>
      </w:r>
      <w:r>
        <w:rPr>
          <w:rFonts w:eastAsia="DengXian"/>
          <w:kern w:val="2"/>
          <w:lang w:val="fr" w:eastAsia="zh-CN" w:bidi="ar"/>
        </w:rPr>
        <w:t>de monitoring de protection et la formation des services techniques déconcentrés ont renforcé les capacités de l’État à prévenir et gérer les conflits de manière plus structurée.</w:t>
      </w:r>
    </w:p>
    <w:p w14:paraId="1212E948" w14:textId="77777777" w:rsidR="001B58C7" w:rsidRDefault="000F0E0E">
      <w:pPr>
        <w:spacing w:after="160" w:line="276" w:lineRule="auto"/>
        <w:jc w:val="both"/>
        <w:rPr>
          <w:lang w:val="fr"/>
        </w:rPr>
      </w:pPr>
      <w:r>
        <w:rPr>
          <w:rFonts w:eastAsia="DengXian"/>
          <w:b/>
          <w:bCs/>
          <w:kern w:val="2"/>
          <w:lang w:val="fr" w:eastAsia="zh-CN" w:bidi="ar"/>
        </w:rPr>
        <w:lastRenderedPageBreak/>
        <w:t>2. Résultats au niveau sociétal : évolution des attitudes et de la confiance</w:t>
      </w:r>
      <w:r>
        <w:rPr>
          <w:rFonts w:eastAsia="DengXian"/>
          <w:kern w:val="2"/>
          <w:lang w:val="fr" w:eastAsia="zh-CN" w:bidi="ar"/>
        </w:rPr>
        <w:br/>
        <w:t>Au niveau des communautés, le projet a engendré des changements significatifs dans les perceptions et les comportements.</w:t>
      </w:r>
      <w:r>
        <w:rPr>
          <w:rFonts w:eastAsia="DengXian"/>
          <w:kern w:val="2"/>
          <w:lang w:val="fr" w:eastAsia="zh-CN" w:bidi="ar"/>
        </w:rPr>
        <w:br/>
        <w:t>Les audiences foraines ont permis de rapprocher la justice des populations dans des zones marginalisées, contribuant à restaurer la confiance envers les institutions judiciaires.</w:t>
      </w:r>
      <w:r>
        <w:rPr>
          <w:rFonts w:eastAsia="DengXian"/>
          <w:kern w:val="2"/>
          <w:lang w:val="fr" w:eastAsia="zh-CN" w:bidi="ar"/>
        </w:rPr>
        <w:br/>
        <w:t>L’assistance judiciaire gratuite accordée aux victimes et aux prévenus a renforcé la perception d’équité et d’impartialité, réduisant les frustrations susceptibles d’alimenter les tensions.</w:t>
      </w:r>
      <w:r>
        <w:rPr>
          <w:rFonts w:eastAsia="DengXian"/>
          <w:kern w:val="2"/>
          <w:lang w:val="fr" w:eastAsia="zh-CN" w:bidi="ar"/>
        </w:rPr>
        <w:br/>
        <w:t>Les activités de sens</w:t>
      </w:r>
      <w:r>
        <w:rPr>
          <w:rFonts w:eastAsia="DengXian"/>
          <w:kern w:val="2"/>
          <w:lang w:val="fr" w:eastAsia="zh-CN" w:bidi="ar"/>
        </w:rPr>
        <w:t>ibilisation et de dialogue ont favorisé une meilleure compréhension des mécanismes de justice transitionnelle et renforcé leur acceptabilité sociale.</w:t>
      </w:r>
      <w:r>
        <w:rPr>
          <w:rFonts w:eastAsia="DengXian"/>
          <w:kern w:val="2"/>
          <w:lang w:val="fr" w:eastAsia="zh-CN" w:bidi="ar"/>
        </w:rPr>
        <w:br/>
        <w:t>En parallèle, le renforcement des mécanismes communautaires et les initiatives de pré-dialogue ont encouragé des pratiques locales de résolution pacifique des conflits, contribuant à une transformation progressive des comportements.</w:t>
      </w:r>
    </w:p>
    <w:p w14:paraId="7A8C2F97" w14:textId="77777777" w:rsidR="001B58C7" w:rsidRDefault="000F0E0E">
      <w:pPr>
        <w:spacing w:after="160" w:line="276" w:lineRule="auto"/>
        <w:jc w:val="both"/>
        <w:rPr>
          <w:lang w:val="fr"/>
        </w:rPr>
      </w:pPr>
      <w:r>
        <w:rPr>
          <w:rFonts w:eastAsia="DengXian"/>
          <w:b/>
          <w:bCs/>
          <w:kern w:val="2"/>
          <w:lang w:val="fr" w:eastAsia="zh-CN" w:bidi="ar"/>
        </w:rPr>
        <w:t>3. Exemples concrets de résultats de consolidation de la paix</w:t>
      </w:r>
      <w:r>
        <w:rPr>
          <w:rFonts w:eastAsia="DengXian"/>
          <w:kern w:val="2"/>
          <w:lang w:val="fr" w:eastAsia="zh-CN" w:bidi="ar"/>
        </w:rPr>
        <w:br/>
        <w:t>Plusieurs résultats tangibles illustrent ces avancées :</w:t>
      </w:r>
    </w:p>
    <w:p w14:paraId="6F0ABC26" w14:textId="77777777" w:rsidR="001B58C7" w:rsidRDefault="000F0E0E">
      <w:pPr>
        <w:numPr>
          <w:ilvl w:val="0"/>
          <w:numId w:val="7"/>
        </w:numPr>
        <w:spacing w:after="160" w:line="276" w:lineRule="auto"/>
        <w:jc w:val="both"/>
        <w:rPr>
          <w:rFonts w:eastAsia="DengXian"/>
          <w:kern w:val="2"/>
          <w:lang w:val="fr"/>
        </w:rPr>
      </w:pPr>
      <w:r>
        <w:rPr>
          <w:rFonts w:eastAsia="DengXian"/>
          <w:b/>
          <w:bCs/>
          <w:kern w:val="2"/>
          <w:lang w:val="fr"/>
        </w:rPr>
        <w:t>Lutte contre l’impunité :</w:t>
      </w:r>
      <w:r>
        <w:rPr>
          <w:rFonts w:eastAsia="DengXian"/>
          <w:kern w:val="2"/>
          <w:lang w:val="fr"/>
        </w:rPr>
        <w:t xml:space="preserve"> Les audiences foraines organisées à </w:t>
      </w:r>
      <w:proofErr w:type="spellStart"/>
      <w:r>
        <w:rPr>
          <w:rFonts w:eastAsia="DengXian"/>
          <w:kern w:val="2"/>
          <w:lang w:val="fr"/>
        </w:rPr>
        <w:t>Lukuaya</w:t>
      </w:r>
      <w:proofErr w:type="spellEnd"/>
      <w:r>
        <w:rPr>
          <w:rFonts w:eastAsia="DengXian"/>
          <w:kern w:val="2"/>
          <w:lang w:val="fr"/>
        </w:rPr>
        <w:t xml:space="preserve"> (Kasaï) ont abouti à des condamnations significatives, renforçant la crédibilité de la justice et l’autorité de l’État.</w:t>
      </w:r>
    </w:p>
    <w:p w14:paraId="09E0E73C" w14:textId="77777777" w:rsidR="001B58C7" w:rsidRDefault="000F0E0E">
      <w:pPr>
        <w:numPr>
          <w:ilvl w:val="0"/>
          <w:numId w:val="7"/>
        </w:numPr>
        <w:spacing w:after="160" w:line="276" w:lineRule="auto"/>
        <w:jc w:val="both"/>
        <w:rPr>
          <w:rFonts w:eastAsia="DengXian"/>
          <w:kern w:val="2"/>
          <w:lang w:val="fr"/>
        </w:rPr>
      </w:pPr>
      <w:r>
        <w:rPr>
          <w:rFonts w:eastAsia="DengXian"/>
          <w:b/>
          <w:bCs/>
          <w:kern w:val="2"/>
          <w:lang w:val="fr"/>
        </w:rPr>
        <w:t>Accès accru à la justice :</w:t>
      </w:r>
      <w:r>
        <w:rPr>
          <w:rFonts w:eastAsia="DengXian"/>
          <w:kern w:val="2"/>
          <w:lang w:val="fr"/>
        </w:rPr>
        <w:t xml:space="preserve"> 145 victimes, majoritairement des femmes et des filles, ont bénéficié d’un accompagnement juridique, plusieurs ayant comparu devant le tribunal avec une assistance gratuite, garantissant leur participation effective.</w:t>
      </w:r>
    </w:p>
    <w:p w14:paraId="14138BCB" w14:textId="77777777" w:rsidR="001B58C7" w:rsidRDefault="000F0E0E">
      <w:pPr>
        <w:numPr>
          <w:ilvl w:val="0"/>
          <w:numId w:val="7"/>
        </w:numPr>
        <w:spacing w:after="160" w:line="276" w:lineRule="auto"/>
        <w:jc w:val="both"/>
        <w:rPr>
          <w:rFonts w:eastAsia="DengXian"/>
          <w:kern w:val="2"/>
          <w:lang w:val="fr"/>
        </w:rPr>
      </w:pPr>
      <w:r>
        <w:rPr>
          <w:rFonts w:eastAsia="DengXian"/>
          <w:b/>
          <w:bCs/>
          <w:kern w:val="2"/>
          <w:lang w:val="fr"/>
        </w:rPr>
        <w:t>Gestion des conflits :</w:t>
      </w:r>
      <w:r>
        <w:rPr>
          <w:rFonts w:eastAsia="DengXian"/>
          <w:kern w:val="2"/>
          <w:lang w:val="fr"/>
        </w:rPr>
        <w:t xml:space="preserve"> La documentation de 40 conflits et 713 incidents de protection a permis des réponses adaptées, limitant les risques d’escalade.</w:t>
      </w:r>
    </w:p>
    <w:p w14:paraId="4CE6978E" w14:textId="77777777" w:rsidR="001B58C7" w:rsidRDefault="000F0E0E">
      <w:pPr>
        <w:numPr>
          <w:ilvl w:val="0"/>
          <w:numId w:val="7"/>
        </w:numPr>
        <w:spacing w:after="160" w:line="276" w:lineRule="auto"/>
        <w:jc w:val="both"/>
        <w:rPr>
          <w:rFonts w:eastAsia="DengXian"/>
          <w:kern w:val="2"/>
          <w:lang w:val="fr"/>
        </w:rPr>
      </w:pPr>
      <w:r>
        <w:rPr>
          <w:rFonts w:eastAsia="DengXian"/>
          <w:b/>
          <w:bCs/>
          <w:kern w:val="2"/>
          <w:lang w:val="fr"/>
        </w:rPr>
        <w:t>Protection des populations :</w:t>
      </w:r>
      <w:r>
        <w:rPr>
          <w:rFonts w:eastAsia="DengXian"/>
          <w:kern w:val="2"/>
          <w:lang w:val="fr"/>
        </w:rPr>
        <w:t xml:space="preserve"> L’assistance apportée aux victimes, notamment les survivantes de violences basées sur le genre, a renforcé leur résilience et leur réintégration.</w:t>
      </w:r>
    </w:p>
    <w:p w14:paraId="4550EDE4" w14:textId="77777777" w:rsidR="001B58C7" w:rsidRDefault="000F0E0E">
      <w:pPr>
        <w:numPr>
          <w:ilvl w:val="0"/>
          <w:numId w:val="7"/>
        </w:numPr>
        <w:spacing w:after="160" w:line="276" w:lineRule="auto"/>
        <w:jc w:val="both"/>
        <w:rPr>
          <w:rFonts w:eastAsia="DengXian"/>
          <w:kern w:val="2"/>
          <w:lang w:val="fr"/>
        </w:rPr>
      </w:pPr>
      <w:r>
        <w:rPr>
          <w:rFonts w:eastAsia="DengXian"/>
          <w:b/>
          <w:bCs/>
          <w:kern w:val="2"/>
          <w:lang w:val="fr"/>
        </w:rPr>
        <w:t>Justice transitionnelle :</w:t>
      </w:r>
      <w:r>
        <w:rPr>
          <w:rFonts w:eastAsia="DengXian"/>
          <w:kern w:val="2"/>
          <w:lang w:val="fr"/>
        </w:rPr>
        <w:t xml:space="preserve"> L’appui à la CPVJR au Kasaï Central et la validation des consultations dans le Kasaï ont posé les bases d’un processus crédible de vérité, justice et réconciliation.</w:t>
      </w:r>
    </w:p>
    <w:p w14:paraId="4CC30C5C" w14:textId="77777777" w:rsidR="001B58C7" w:rsidRDefault="000F0E0E">
      <w:pPr>
        <w:spacing w:after="160" w:line="276" w:lineRule="auto"/>
        <w:jc w:val="both"/>
        <w:rPr>
          <w:lang w:val="fr"/>
        </w:rPr>
      </w:pPr>
      <w:r>
        <w:rPr>
          <w:rFonts w:eastAsia="DengXian"/>
          <w:b/>
          <w:bCs/>
          <w:kern w:val="2"/>
          <w:lang w:val="fr" w:eastAsia="zh-CN" w:bidi="ar"/>
        </w:rPr>
        <w:t>4. Effets sur les dynamiques de paix à moyen terme</w:t>
      </w:r>
      <w:r>
        <w:rPr>
          <w:rFonts w:eastAsia="DengXian"/>
          <w:kern w:val="2"/>
          <w:lang w:val="fr" w:eastAsia="zh-CN" w:bidi="ar"/>
        </w:rPr>
        <w:br/>
        <w:t>Au-delà des résultats immédiats, le projet contribue à des transformations durables :</w:t>
      </w:r>
    </w:p>
    <w:p w14:paraId="71BDF8AA" w14:textId="77777777" w:rsidR="001B58C7" w:rsidRDefault="000F0E0E">
      <w:pPr>
        <w:numPr>
          <w:ilvl w:val="0"/>
          <w:numId w:val="8"/>
        </w:numPr>
        <w:spacing w:after="160" w:line="276" w:lineRule="auto"/>
        <w:jc w:val="both"/>
        <w:rPr>
          <w:rFonts w:eastAsia="DengXian"/>
          <w:kern w:val="2"/>
          <w:lang w:val="fr"/>
        </w:rPr>
      </w:pPr>
      <w:proofErr w:type="gramStart"/>
      <w:r>
        <w:rPr>
          <w:rFonts w:eastAsia="DengXian"/>
          <w:kern w:val="2"/>
          <w:lang w:val="fr"/>
        </w:rPr>
        <w:t>amélioration</w:t>
      </w:r>
      <w:proofErr w:type="gramEnd"/>
      <w:r>
        <w:rPr>
          <w:rFonts w:eastAsia="DengXian"/>
          <w:kern w:val="2"/>
          <w:lang w:val="fr"/>
        </w:rPr>
        <w:t xml:space="preserve"> de la coordination entre les niveaux local, provincial et national ;</w:t>
      </w:r>
    </w:p>
    <w:p w14:paraId="1FF98A65" w14:textId="77777777" w:rsidR="001B58C7" w:rsidRDefault="000F0E0E">
      <w:pPr>
        <w:numPr>
          <w:ilvl w:val="0"/>
          <w:numId w:val="8"/>
        </w:numPr>
        <w:spacing w:after="160" w:line="276" w:lineRule="auto"/>
        <w:jc w:val="both"/>
        <w:rPr>
          <w:rFonts w:eastAsia="DengXian"/>
          <w:kern w:val="2"/>
          <w:lang w:val="fr"/>
        </w:rPr>
      </w:pPr>
      <w:proofErr w:type="gramStart"/>
      <w:r>
        <w:rPr>
          <w:rFonts w:eastAsia="DengXian"/>
          <w:kern w:val="2"/>
          <w:lang w:val="fr"/>
        </w:rPr>
        <w:t>renforcement</w:t>
      </w:r>
      <w:proofErr w:type="gramEnd"/>
      <w:r>
        <w:rPr>
          <w:rFonts w:eastAsia="DengXian"/>
          <w:kern w:val="2"/>
          <w:lang w:val="fr"/>
        </w:rPr>
        <w:t xml:space="preserve"> progressif de la confiance entre les communautés et les institutions publiques ;</w:t>
      </w:r>
    </w:p>
    <w:p w14:paraId="433F0940" w14:textId="77777777" w:rsidR="001B58C7" w:rsidRDefault="000F0E0E">
      <w:pPr>
        <w:numPr>
          <w:ilvl w:val="0"/>
          <w:numId w:val="8"/>
        </w:numPr>
        <w:spacing w:after="160" w:line="276" w:lineRule="auto"/>
        <w:jc w:val="both"/>
        <w:rPr>
          <w:rFonts w:eastAsia="DengXian"/>
          <w:kern w:val="2"/>
          <w:lang w:val="fr"/>
        </w:rPr>
      </w:pPr>
      <w:proofErr w:type="gramStart"/>
      <w:r>
        <w:rPr>
          <w:rFonts w:eastAsia="DengXian"/>
          <w:kern w:val="2"/>
          <w:lang w:val="fr"/>
        </w:rPr>
        <w:t>participation</w:t>
      </w:r>
      <w:proofErr w:type="gramEnd"/>
      <w:r>
        <w:rPr>
          <w:rFonts w:eastAsia="DengXian"/>
          <w:kern w:val="2"/>
          <w:lang w:val="fr"/>
        </w:rPr>
        <w:t xml:space="preserve"> accrue des femmes et des groupes vulnérables ;</w:t>
      </w:r>
    </w:p>
    <w:p w14:paraId="6452BDCE" w14:textId="77777777" w:rsidR="001B58C7" w:rsidRDefault="000F0E0E">
      <w:pPr>
        <w:numPr>
          <w:ilvl w:val="0"/>
          <w:numId w:val="8"/>
        </w:numPr>
        <w:spacing w:after="160" w:line="276" w:lineRule="auto"/>
        <w:jc w:val="both"/>
        <w:rPr>
          <w:rFonts w:eastAsia="DengXian"/>
          <w:kern w:val="2"/>
          <w:lang w:val="fr"/>
        </w:rPr>
      </w:pPr>
      <w:proofErr w:type="gramStart"/>
      <w:r>
        <w:rPr>
          <w:rFonts w:eastAsia="DengXian"/>
          <w:kern w:val="2"/>
          <w:lang w:val="fr"/>
        </w:rPr>
        <w:t>évolution</w:t>
      </w:r>
      <w:proofErr w:type="gramEnd"/>
      <w:r>
        <w:rPr>
          <w:rFonts w:eastAsia="DengXian"/>
          <w:kern w:val="2"/>
          <w:lang w:val="fr"/>
        </w:rPr>
        <w:t xml:space="preserve"> des pratiques institutionnelles vers plus de transparence et d’inclusivité.</w:t>
      </w:r>
    </w:p>
    <w:p w14:paraId="554874B5" w14:textId="77777777" w:rsidR="001B58C7" w:rsidRDefault="000F0E0E">
      <w:pPr>
        <w:spacing w:after="160" w:line="276" w:lineRule="auto"/>
        <w:jc w:val="both"/>
        <w:rPr>
          <w:b/>
          <w:bCs/>
          <w:i/>
          <w:iCs/>
          <w:u w:val="single"/>
          <w:lang w:val="fr-FR"/>
        </w:rPr>
      </w:pPr>
      <w:r>
        <w:rPr>
          <w:rFonts w:eastAsia="DengXian"/>
          <w:b/>
          <w:bCs/>
          <w:kern w:val="2"/>
          <w:lang w:val="fr" w:eastAsia="zh-CN" w:bidi="ar"/>
        </w:rPr>
        <w:t>5. Conclusion analytique</w:t>
      </w:r>
      <w:r>
        <w:rPr>
          <w:rFonts w:eastAsia="DengXian"/>
          <w:kern w:val="2"/>
          <w:lang w:val="fr" w:eastAsia="zh-CN" w:bidi="ar"/>
        </w:rPr>
        <w:br/>
      </w:r>
      <w:r>
        <w:rPr>
          <w:rFonts w:eastAsia="DengXian"/>
          <w:kern w:val="2"/>
          <w:lang w:val="fr" w:eastAsia="zh-CN" w:bidi="ar"/>
        </w:rPr>
        <w:t xml:space="preserve">Dans l’ensemble, PROJUST génère des effets significatifs en matière de consolidation de la paix, en allant au-delà des réalisations immédiates pour influencer durablement les systèmes et </w:t>
      </w:r>
      <w:r>
        <w:rPr>
          <w:rFonts w:eastAsia="DengXian"/>
          <w:kern w:val="2"/>
          <w:lang w:val="fr" w:eastAsia="zh-CN" w:bidi="ar"/>
        </w:rPr>
        <w:lastRenderedPageBreak/>
        <w:t>les dynamiques sociales. Malgré un contexte contraint, le projet confirme la pertinence de son approche intégrée et multi-niveaux, ainsi que son rôle structurant dans le renforcement de l’État de droit et la consolidation de la paix dans les provinces du Kasaï et du Kasaï Central.</w:t>
      </w:r>
    </w:p>
    <w:p w14:paraId="57B21AAB" w14:textId="77777777" w:rsidR="001B58C7" w:rsidRDefault="000F0E0E">
      <w:pPr>
        <w:ind w:left="-360"/>
        <w:rPr>
          <w:i/>
          <w:iCs/>
          <w:lang w:val="fr-FR"/>
        </w:rPr>
      </w:pPr>
      <w:r>
        <w:rPr>
          <w:i/>
          <w:iCs/>
          <w:lang w:val="fr-FR"/>
        </w:rPr>
        <w:t>Dans l’affirmative, veuillez fournir des sources ou des références (y compris des liens) comme preuve des résultats de la consolidation de la paix, ou les soumettre en pièces jointes supplémentaires.</w:t>
      </w:r>
    </w:p>
    <w:p w14:paraId="66B606EF" w14:textId="77777777" w:rsidR="001B58C7" w:rsidRDefault="001B58C7">
      <w:pPr>
        <w:ind w:left="-360"/>
        <w:rPr>
          <w:i/>
          <w:iCs/>
          <w:lang w:val="fr-FR"/>
        </w:rPr>
      </w:pPr>
    </w:p>
    <w:p w14:paraId="7034DF7B" w14:textId="77777777" w:rsidR="001B58C7" w:rsidRDefault="000F0E0E">
      <w:pPr>
        <w:spacing w:after="160" w:line="276" w:lineRule="auto"/>
        <w:jc w:val="both"/>
        <w:rPr>
          <w:lang w:val="fr"/>
        </w:rPr>
      </w:pPr>
      <w:r>
        <w:rPr>
          <w:rFonts w:eastAsia="DengXian"/>
          <w:kern w:val="2"/>
          <w:lang w:val="fr" w:eastAsia="zh-CN" w:bidi="ar"/>
        </w:rPr>
        <w:t>Les résultats en matière de consolidation de la paix présentés ci</w:t>
      </w:r>
      <w:r>
        <w:rPr>
          <w:rFonts w:eastAsia="DengXian"/>
          <w:kern w:val="2"/>
          <w:lang w:val="fr" w:eastAsia="zh-CN" w:bidi="ar"/>
        </w:rPr>
        <w:noBreakHyphen/>
        <w:t>dessus sont étayés par plusieurs sources primaires et secondaires issues du dispositif de suivi</w:t>
      </w:r>
      <w:r>
        <w:rPr>
          <w:rFonts w:eastAsia="DengXian"/>
          <w:kern w:val="2"/>
          <w:lang w:val="fr" w:eastAsia="zh-CN" w:bidi="ar"/>
        </w:rPr>
        <w:noBreakHyphen/>
        <w:t>évaluation du projet PROJUST et du portefeuille S</w:t>
      </w:r>
      <w:r>
        <w:rPr>
          <w:rFonts w:eastAsia="DengXian"/>
          <w:kern w:val="2"/>
          <w:lang w:val="fr" w:eastAsia="zh-CN" w:bidi="ar"/>
        </w:rPr>
        <w:noBreakHyphen/>
        <w:t>PBF :</w:t>
      </w:r>
    </w:p>
    <w:p w14:paraId="376E57A9" w14:textId="77777777" w:rsidR="001B58C7" w:rsidRDefault="000F0E0E">
      <w:pPr>
        <w:spacing w:after="160" w:line="276" w:lineRule="auto"/>
        <w:jc w:val="both"/>
        <w:rPr>
          <w:b/>
          <w:bCs/>
          <w:lang w:val="fr"/>
        </w:rPr>
      </w:pPr>
      <w:r>
        <w:rPr>
          <w:rFonts w:eastAsia="DengXian"/>
          <w:b/>
          <w:bCs/>
          <w:kern w:val="2"/>
          <w:lang w:val="fr" w:eastAsia="zh-CN" w:bidi="ar"/>
        </w:rPr>
        <w:t>1. Rapports techniques et de suivi du projet</w:t>
      </w:r>
    </w:p>
    <w:p w14:paraId="1F25D07A" w14:textId="77777777" w:rsidR="001B58C7" w:rsidRDefault="000F0E0E">
      <w:pPr>
        <w:numPr>
          <w:ilvl w:val="0"/>
          <w:numId w:val="9"/>
        </w:numPr>
        <w:spacing w:after="160" w:line="276" w:lineRule="auto"/>
        <w:jc w:val="both"/>
        <w:rPr>
          <w:rFonts w:eastAsia="DengXian"/>
          <w:kern w:val="2"/>
          <w:lang w:val="fr"/>
        </w:rPr>
      </w:pPr>
      <w:r>
        <w:rPr>
          <w:rFonts w:eastAsia="DengXian"/>
          <w:kern w:val="2"/>
          <w:lang w:val="fr"/>
        </w:rPr>
        <w:t>Rapports semestriels PROJUST (PNUD, HCR, BCNUDH), incluant les données sur les audiences foraines, les bénéficiaires de l’assistance judiciaire et les activités de renforcement des capacités.</w:t>
      </w:r>
    </w:p>
    <w:p w14:paraId="08BBA93F" w14:textId="77777777" w:rsidR="001B58C7" w:rsidRDefault="000F0E0E">
      <w:pPr>
        <w:numPr>
          <w:ilvl w:val="0"/>
          <w:numId w:val="9"/>
        </w:numPr>
        <w:spacing w:after="160" w:line="276" w:lineRule="auto"/>
        <w:jc w:val="both"/>
        <w:rPr>
          <w:rFonts w:eastAsia="DengXian"/>
          <w:kern w:val="2"/>
          <w:lang w:val="fr"/>
        </w:rPr>
      </w:pPr>
      <w:r>
        <w:rPr>
          <w:rFonts w:eastAsia="DengXian"/>
          <w:kern w:val="2"/>
          <w:lang w:val="fr"/>
        </w:rPr>
        <w:t xml:space="preserve">Rapports narratifs et financiers soumis au Secrétariat du </w:t>
      </w:r>
      <w:proofErr w:type="spellStart"/>
      <w:r>
        <w:rPr>
          <w:rFonts w:eastAsia="DengXian"/>
          <w:kern w:val="2"/>
          <w:lang w:val="fr"/>
        </w:rPr>
        <w:t>Peacebuilding</w:t>
      </w:r>
      <w:proofErr w:type="spellEnd"/>
      <w:r>
        <w:rPr>
          <w:rFonts w:eastAsia="DengXian"/>
          <w:kern w:val="2"/>
          <w:lang w:val="fr"/>
        </w:rPr>
        <w:t xml:space="preserve"> Fund (S</w:t>
      </w:r>
      <w:r>
        <w:rPr>
          <w:rFonts w:eastAsia="DengXian"/>
          <w:kern w:val="2"/>
          <w:lang w:val="fr"/>
        </w:rPr>
        <w:noBreakHyphen/>
        <w:t>PBF), incluant les indicateurs de performance et d’</w:t>
      </w:r>
      <w:proofErr w:type="spellStart"/>
      <w:r>
        <w:rPr>
          <w:rFonts w:eastAsia="DengXian"/>
          <w:kern w:val="2"/>
          <w:lang w:val="fr"/>
        </w:rPr>
        <w:t>outcomes</w:t>
      </w:r>
      <w:proofErr w:type="spellEnd"/>
      <w:r>
        <w:rPr>
          <w:rFonts w:eastAsia="DengXian"/>
          <w:kern w:val="2"/>
          <w:lang w:val="fr"/>
        </w:rPr>
        <w:t>.</w:t>
      </w:r>
    </w:p>
    <w:p w14:paraId="22588FF5" w14:textId="77777777" w:rsidR="001B58C7" w:rsidRDefault="000F0E0E">
      <w:pPr>
        <w:numPr>
          <w:ilvl w:val="0"/>
          <w:numId w:val="9"/>
        </w:numPr>
        <w:spacing w:after="160" w:line="276" w:lineRule="auto"/>
        <w:jc w:val="both"/>
        <w:rPr>
          <w:rFonts w:eastAsia="DengXian"/>
          <w:kern w:val="2"/>
          <w:lang w:val="fr"/>
        </w:rPr>
      </w:pPr>
      <w:r>
        <w:rPr>
          <w:rFonts w:eastAsia="DengXian"/>
          <w:kern w:val="2"/>
          <w:lang w:val="fr"/>
        </w:rPr>
        <w:t>Rapports de monitoring de protection (mars–mai 2026), documentant les conflits, incidents de protection et réponses apportées.</w:t>
      </w:r>
    </w:p>
    <w:p w14:paraId="3A977B14" w14:textId="77777777" w:rsidR="001B58C7" w:rsidRDefault="000F0E0E">
      <w:pPr>
        <w:spacing w:after="160" w:line="276" w:lineRule="auto"/>
        <w:jc w:val="both"/>
        <w:rPr>
          <w:b/>
          <w:bCs/>
          <w:lang w:val="fr"/>
        </w:rPr>
      </w:pPr>
      <w:r>
        <w:rPr>
          <w:rFonts w:eastAsia="DengXian"/>
          <w:b/>
          <w:bCs/>
          <w:kern w:val="2"/>
          <w:lang w:val="fr" w:eastAsia="zh-CN" w:bidi="ar"/>
        </w:rPr>
        <w:t>2. Procès-verbaux et documents institutionnels</w:t>
      </w:r>
    </w:p>
    <w:p w14:paraId="60597645" w14:textId="77777777" w:rsidR="001B58C7" w:rsidRDefault="000F0E0E">
      <w:pPr>
        <w:numPr>
          <w:ilvl w:val="0"/>
          <w:numId w:val="10"/>
        </w:numPr>
        <w:spacing w:after="160" w:line="276" w:lineRule="auto"/>
        <w:jc w:val="both"/>
        <w:rPr>
          <w:rFonts w:eastAsia="DengXian"/>
          <w:kern w:val="2"/>
          <w:lang w:val="fr"/>
        </w:rPr>
      </w:pPr>
      <w:r>
        <w:rPr>
          <w:rFonts w:eastAsia="DengXian"/>
          <w:kern w:val="2"/>
          <w:lang w:val="fr"/>
        </w:rPr>
        <w:t>Procès-verbaux des deux dernières réunions du 05-06 et du 13-14 mars 2026 des Comités Techniques Provinciaux CTP-Tshikapa et CTP-Kananga, mars 2026).</w:t>
      </w:r>
    </w:p>
    <w:p w14:paraId="631B2442" w14:textId="77777777" w:rsidR="001B58C7" w:rsidRDefault="000F0E0E">
      <w:pPr>
        <w:numPr>
          <w:ilvl w:val="0"/>
          <w:numId w:val="10"/>
        </w:numPr>
        <w:spacing w:after="160" w:line="276" w:lineRule="auto"/>
        <w:jc w:val="both"/>
        <w:rPr>
          <w:rFonts w:eastAsia="DengXian"/>
          <w:kern w:val="2"/>
          <w:lang w:val="fr"/>
        </w:rPr>
      </w:pPr>
      <w:r>
        <w:rPr>
          <w:rFonts w:eastAsia="DengXian"/>
          <w:kern w:val="2"/>
          <w:lang w:val="fr"/>
        </w:rPr>
        <w:t>Rapports des cadres de concertation des acteurs judiciaires (Kasaï et Kasaï Central).</w:t>
      </w:r>
    </w:p>
    <w:p w14:paraId="234AE719" w14:textId="77777777" w:rsidR="001B58C7" w:rsidRDefault="000F0E0E">
      <w:pPr>
        <w:numPr>
          <w:ilvl w:val="0"/>
          <w:numId w:val="10"/>
        </w:numPr>
        <w:spacing w:after="160" w:line="276" w:lineRule="auto"/>
        <w:jc w:val="both"/>
        <w:rPr>
          <w:rFonts w:eastAsia="DengXian"/>
          <w:kern w:val="2"/>
          <w:lang w:val="fr"/>
        </w:rPr>
      </w:pPr>
      <w:r>
        <w:rPr>
          <w:rFonts w:eastAsia="DengXian"/>
          <w:kern w:val="2"/>
          <w:lang w:val="fr"/>
        </w:rPr>
        <w:t>Documents de la Commission Provinciale Vérité, Justice et Réconciliation (CPVJR), incluant outils de collecte, plans de travail et rapports d’activités.</w:t>
      </w:r>
    </w:p>
    <w:p w14:paraId="0B906BDF" w14:textId="77777777" w:rsidR="001B58C7" w:rsidRDefault="000F0E0E">
      <w:pPr>
        <w:spacing w:after="160" w:line="276" w:lineRule="auto"/>
        <w:jc w:val="both"/>
        <w:rPr>
          <w:b/>
          <w:bCs/>
          <w:lang w:val="fr"/>
        </w:rPr>
      </w:pPr>
      <w:r>
        <w:rPr>
          <w:rFonts w:eastAsia="DengXian"/>
          <w:b/>
          <w:bCs/>
          <w:kern w:val="2"/>
          <w:lang w:val="fr" w:eastAsia="zh-CN" w:bidi="ar"/>
        </w:rPr>
        <w:t>3. Rapports judiciaires et preuves des audiences</w:t>
      </w:r>
    </w:p>
    <w:p w14:paraId="3E870FEC" w14:textId="77777777" w:rsidR="001B58C7" w:rsidRDefault="000F0E0E">
      <w:pPr>
        <w:numPr>
          <w:ilvl w:val="0"/>
          <w:numId w:val="11"/>
        </w:numPr>
        <w:spacing w:after="160" w:line="276" w:lineRule="auto"/>
        <w:jc w:val="both"/>
        <w:rPr>
          <w:rFonts w:eastAsia="DengXian"/>
          <w:kern w:val="2"/>
          <w:lang w:val="fr"/>
        </w:rPr>
      </w:pPr>
      <w:r>
        <w:rPr>
          <w:rFonts w:eastAsia="DengXian"/>
          <w:kern w:val="2"/>
          <w:lang w:val="fr"/>
        </w:rPr>
        <w:t xml:space="preserve">Extrait de rôle et jugement rendu en audience publique du 25 mai 2026 du Tribunal militaire de garnison de Tshikapa (audiences foraines de </w:t>
      </w:r>
      <w:proofErr w:type="spellStart"/>
      <w:r>
        <w:rPr>
          <w:rFonts w:eastAsia="DengXian"/>
          <w:kern w:val="2"/>
          <w:lang w:val="fr"/>
        </w:rPr>
        <w:t>Lukuaya</w:t>
      </w:r>
      <w:proofErr w:type="spellEnd"/>
      <w:r>
        <w:rPr>
          <w:rFonts w:eastAsia="DengXian"/>
          <w:kern w:val="2"/>
          <w:lang w:val="fr"/>
        </w:rPr>
        <w:t>, mai 2026).</w:t>
      </w:r>
    </w:p>
    <w:p w14:paraId="5E7A9644" w14:textId="77777777" w:rsidR="001B58C7" w:rsidRDefault="000F0E0E">
      <w:pPr>
        <w:numPr>
          <w:ilvl w:val="0"/>
          <w:numId w:val="11"/>
        </w:numPr>
        <w:spacing w:after="160" w:line="276" w:lineRule="auto"/>
        <w:jc w:val="both"/>
        <w:rPr>
          <w:rFonts w:eastAsia="DengXian"/>
          <w:kern w:val="2"/>
          <w:lang w:val="fr"/>
        </w:rPr>
      </w:pPr>
      <w:r>
        <w:rPr>
          <w:rFonts w:eastAsia="DengXian"/>
          <w:kern w:val="2"/>
          <w:lang w:val="fr"/>
        </w:rPr>
        <w:t>Rapports d’assistance judiciaire des avocats du Bureau des Consultations Gratuites du Barreau du Kasaï (incluant listes de bénéficiaires et types d’assistance fournie).</w:t>
      </w:r>
    </w:p>
    <w:p w14:paraId="1FE39E20" w14:textId="77777777" w:rsidR="001B58C7" w:rsidRDefault="000F0E0E">
      <w:pPr>
        <w:numPr>
          <w:ilvl w:val="0"/>
          <w:numId w:val="11"/>
        </w:numPr>
        <w:spacing w:after="160" w:line="276" w:lineRule="auto"/>
        <w:jc w:val="both"/>
        <w:rPr>
          <w:rFonts w:eastAsia="DengXian"/>
          <w:kern w:val="2"/>
          <w:lang w:val="fr"/>
        </w:rPr>
      </w:pPr>
      <w:r>
        <w:rPr>
          <w:rFonts w:eastAsia="DengXian"/>
          <w:kern w:val="2"/>
          <w:lang w:val="fr"/>
        </w:rPr>
        <w:t xml:space="preserve">Rapports du Président du Tribunal Militaire de Garnison de Tshikapa (TMG) et </w:t>
      </w:r>
    </w:p>
    <w:p w14:paraId="7A35E8EB" w14:textId="77777777" w:rsidR="001B58C7" w:rsidRDefault="000F0E0E">
      <w:pPr>
        <w:numPr>
          <w:ilvl w:val="0"/>
          <w:numId w:val="11"/>
        </w:numPr>
        <w:spacing w:after="160" w:line="276" w:lineRule="auto"/>
        <w:jc w:val="both"/>
        <w:rPr>
          <w:rFonts w:eastAsia="DengXian"/>
          <w:kern w:val="2"/>
          <w:lang w:val="fr"/>
        </w:rPr>
      </w:pPr>
      <w:r>
        <w:rPr>
          <w:rFonts w:eastAsia="DengXian"/>
          <w:kern w:val="2"/>
          <w:lang w:val="fr"/>
        </w:rPr>
        <w:t>Rapports des partenaires / observateurs indépendants du procès (Monitoring procès).</w:t>
      </w:r>
    </w:p>
    <w:p w14:paraId="01358187" w14:textId="77777777" w:rsidR="001B58C7" w:rsidRDefault="000F0E0E">
      <w:pPr>
        <w:spacing w:after="160" w:line="276" w:lineRule="auto"/>
        <w:jc w:val="both"/>
        <w:rPr>
          <w:b/>
          <w:bCs/>
          <w:lang w:val="fr"/>
        </w:rPr>
      </w:pPr>
      <w:r>
        <w:rPr>
          <w:rFonts w:eastAsia="DengXian"/>
          <w:b/>
          <w:bCs/>
          <w:kern w:val="2"/>
          <w:lang w:val="fr" w:eastAsia="zh-CN" w:bidi="ar"/>
        </w:rPr>
        <w:t>4. Données de terrain et suivi communautaire</w:t>
      </w:r>
    </w:p>
    <w:p w14:paraId="7CB6B8C9" w14:textId="77777777" w:rsidR="001B58C7" w:rsidRDefault="000F0E0E">
      <w:pPr>
        <w:numPr>
          <w:ilvl w:val="0"/>
          <w:numId w:val="12"/>
        </w:numPr>
        <w:spacing w:after="160" w:line="276" w:lineRule="auto"/>
        <w:jc w:val="both"/>
        <w:rPr>
          <w:rFonts w:eastAsia="DengXian"/>
          <w:kern w:val="2"/>
          <w:lang w:val="fr"/>
        </w:rPr>
      </w:pPr>
      <w:r>
        <w:rPr>
          <w:rFonts w:eastAsia="DengXian"/>
          <w:kern w:val="2"/>
          <w:lang w:val="fr"/>
        </w:rPr>
        <w:t>Bases de données du système de monitoring de protection (incidents, conflits, réponses).</w:t>
      </w:r>
    </w:p>
    <w:p w14:paraId="08DBDF53" w14:textId="77777777" w:rsidR="001B58C7" w:rsidRDefault="000F0E0E">
      <w:pPr>
        <w:numPr>
          <w:ilvl w:val="0"/>
          <w:numId w:val="12"/>
        </w:numPr>
        <w:spacing w:after="160" w:line="276" w:lineRule="auto"/>
        <w:jc w:val="both"/>
        <w:rPr>
          <w:rFonts w:eastAsia="DengXian"/>
          <w:kern w:val="2"/>
          <w:lang w:val="fr"/>
        </w:rPr>
      </w:pPr>
      <w:r>
        <w:rPr>
          <w:rFonts w:eastAsia="DengXian"/>
          <w:kern w:val="2"/>
          <w:lang w:val="fr"/>
        </w:rPr>
        <w:t>Rapports des structures communautaires et des mécanismes locaux de prévention des conflits.</w:t>
      </w:r>
    </w:p>
    <w:p w14:paraId="76132C2B" w14:textId="77777777" w:rsidR="001B58C7" w:rsidRDefault="000F0E0E">
      <w:pPr>
        <w:numPr>
          <w:ilvl w:val="0"/>
          <w:numId w:val="12"/>
        </w:numPr>
        <w:spacing w:after="160" w:line="276" w:lineRule="auto"/>
        <w:jc w:val="both"/>
        <w:rPr>
          <w:rFonts w:eastAsia="DengXian"/>
          <w:kern w:val="2"/>
          <w:lang w:val="fr"/>
        </w:rPr>
      </w:pPr>
      <w:r>
        <w:rPr>
          <w:rFonts w:eastAsia="DengXian"/>
          <w:kern w:val="2"/>
          <w:lang w:val="fr"/>
        </w:rPr>
        <w:lastRenderedPageBreak/>
        <w:t>Rapports de formation et listes de présence des bénéficiaires (acteurs étatiques, société civile, moniteurs de protection).</w:t>
      </w:r>
    </w:p>
    <w:p w14:paraId="58927697" w14:textId="77777777" w:rsidR="001B58C7" w:rsidRDefault="000F0E0E">
      <w:pPr>
        <w:spacing w:after="160" w:line="276" w:lineRule="auto"/>
        <w:jc w:val="both"/>
        <w:rPr>
          <w:b/>
          <w:bCs/>
          <w:lang w:val="fr"/>
        </w:rPr>
      </w:pPr>
      <w:r>
        <w:rPr>
          <w:rFonts w:eastAsia="DengXian"/>
          <w:b/>
          <w:bCs/>
          <w:kern w:val="2"/>
          <w:lang w:val="fr" w:eastAsia="zh-CN" w:bidi="ar"/>
        </w:rPr>
        <w:t>5. Sources liées à la justice transitionnelle</w:t>
      </w:r>
    </w:p>
    <w:p w14:paraId="05DC5A32" w14:textId="77777777" w:rsidR="001B58C7" w:rsidRDefault="000F0E0E">
      <w:pPr>
        <w:numPr>
          <w:ilvl w:val="0"/>
          <w:numId w:val="13"/>
        </w:numPr>
        <w:spacing w:after="160" w:line="276" w:lineRule="auto"/>
        <w:jc w:val="both"/>
        <w:rPr>
          <w:rFonts w:eastAsia="DengXian"/>
          <w:kern w:val="2"/>
          <w:lang w:val="fr"/>
        </w:rPr>
      </w:pPr>
      <w:r>
        <w:rPr>
          <w:rFonts w:eastAsia="DengXian"/>
          <w:kern w:val="2"/>
          <w:lang w:val="fr"/>
        </w:rPr>
        <w:t xml:space="preserve">Rapport des consultations provinciales sur la justice transitionnelle (Kasaï), validé avec l’appui du projet à </w:t>
      </w:r>
      <w:proofErr w:type="gramStart"/>
      <w:r>
        <w:rPr>
          <w:rFonts w:eastAsia="DengXian"/>
          <w:kern w:val="2"/>
          <w:lang w:val="fr"/>
        </w:rPr>
        <w:t>Tshikapa ,</w:t>
      </w:r>
      <w:proofErr w:type="gramEnd"/>
      <w:r>
        <w:rPr>
          <w:rFonts w:eastAsia="DengXian"/>
          <w:kern w:val="2"/>
          <w:lang w:val="fr"/>
        </w:rPr>
        <w:t xml:space="preserve"> province du Kasai.</w:t>
      </w:r>
    </w:p>
    <w:p w14:paraId="717CF3BF" w14:textId="77777777" w:rsidR="001B58C7" w:rsidRDefault="000F0E0E">
      <w:pPr>
        <w:numPr>
          <w:ilvl w:val="0"/>
          <w:numId w:val="13"/>
        </w:numPr>
        <w:spacing w:after="160" w:line="276" w:lineRule="auto"/>
        <w:jc w:val="both"/>
        <w:rPr>
          <w:rFonts w:eastAsia="DengXian"/>
          <w:kern w:val="2"/>
          <w:lang w:val="fr"/>
        </w:rPr>
      </w:pPr>
      <w:r>
        <w:rPr>
          <w:rFonts w:eastAsia="DengXian"/>
          <w:kern w:val="2"/>
          <w:lang w:val="fr"/>
        </w:rPr>
        <w:t>Documents techniques et rapports d’appui à la CPVJR du Kasaï Central.</w:t>
      </w:r>
    </w:p>
    <w:p w14:paraId="619FE071" w14:textId="77777777" w:rsidR="001B58C7" w:rsidRDefault="000F0E0E">
      <w:pPr>
        <w:numPr>
          <w:ilvl w:val="0"/>
          <w:numId w:val="13"/>
        </w:numPr>
        <w:spacing w:after="160" w:line="276" w:lineRule="auto"/>
        <w:jc w:val="both"/>
        <w:rPr>
          <w:rFonts w:eastAsia="DengXian"/>
          <w:kern w:val="2"/>
          <w:lang w:val="fr"/>
        </w:rPr>
      </w:pPr>
      <w:r>
        <w:rPr>
          <w:rFonts w:eastAsia="DengXian"/>
          <w:kern w:val="2"/>
          <w:lang w:val="fr"/>
        </w:rPr>
        <w:t>Rapports de sensibilisation et activités de vulgarisation auprès des parties prenantes.</w:t>
      </w:r>
    </w:p>
    <w:p w14:paraId="4D724B35" w14:textId="77777777" w:rsidR="001B58C7" w:rsidRDefault="000F0E0E">
      <w:pPr>
        <w:spacing w:after="160" w:line="276" w:lineRule="auto"/>
        <w:jc w:val="both"/>
        <w:rPr>
          <w:b/>
          <w:bCs/>
          <w:lang w:val="fr"/>
        </w:rPr>
      </w:pPr>
      <w:r>
        <w:rPr>
          <w:rFonts w:eastAsia="DengXian"/>
          <w:b/>
          <w:bCs/>
          <w:kern w:val="2"/>
          <w:lang w:val="fr" w:eastAsia="zh-CN" w:bidi="ar"/>
        </w:rPr>
        <w:t>6. Cadre de résultats et analyses du portefeuille PBF</w:t>
      </w:r>
    </w:p>
    <w:p w14:paraId="34BC0945" w14:textId="77777777" w:rsidR="001B58C7" w:rsidRDefault="000F0E0E">
      <w:pPr>
        <w:numPr>
          <w:ilvl w:val="0"/>
          <w:numId w:val="14"/>
        </w:numPr>
        <w:spacing w:after="160" w:line="276" w:lineRule="auto"/>
        <w:jc w:val="both"/>
        <w:rPr>
          <w:rFonts w:eastAsia="DengXian"/>
          <w:kern w:val="2"/>
          <w:lang w:val="fr"/>
        </w:rPr>
      </w:pPr>
      <w:r>
        <w:rPr>
          <w:rFonts w:eastAsia="DengXian"/>
          <w:kern w:val="2"/>
          <w:lang w:val="fr"/>
        </w:rPr>
        <w:t>Cadre de résultats du portefeuille S</w:t>
      </w:r>
      <w:r>
        <w:rPr>
          <w:rFonts w:eastAsia="DengXian"/>
          <w:kern w:val="2"/>
          <w:lang w:val="fr"/>
        </w:rPr>
        <w:noBreakHyphen/>
        <w:t>PBF 2025</w:t>
      </w:r>
      <w:r>
        <w:rPr>
          <w:rFonts w:eastAsia="DengXian"/>
          <w:kern w:val="2"/>
          <w:lang w:val="fr"/>
        </w:rPr>
        <w:noBreakHyphen/>
        <w:t>2029 (Secrétariat PBF, RDC).</w:t>
      </w:r>
    </w:p>
    <w:p w14:paraId="2CBC6DD1" w14:textId="77777777" w:rsidR="001B58C7" w:rsidRDefault="000F0E0E">
      <w:pPr>
        <w:numPr>
          <w:ilvl w:val="0"/>
          <w:numId w:val="14"/>
        </w:numPr>
        <w:spacing w:after="160" w:line="276" w:lineRule="auto"/>
        <w:jc w:val="both"/>
        <w:rPr>
          <w:rFonts w:eastAsia="DengXian"/>
          <w:kern w:val="2"/>
          <w:lang w:val="fr"/>
        </w:rPr>
      </w:pPr>
      <w:r>
        <w:rPr>
          <w:rFonts w:eastAsia="DengXian"/>
          <w:kern w:val="2"/>
          <w:lang w:val="fr"/>
        </w:rPr>
        <w:t>Rapports de mission conjointe de suivi (S</w:t>
      </w:r>
      <w:r>
        <w:rPr>
          <w:rFonts w:eastAsia="DengXian"/>
          <w:kern w:val="2"/>
          <w:lang w:val="fr"/>
        </w:rPr>
        <w:noBreakHyphen/>
        <w:t>PBF et partie nationale, mai 2026).</w:t>
      </w:r>
    </w:p>
    <w:p w14:paraId="53CDA4EB" w14:textId="77777777" w:rsidR="001B58C7" w:rsidRDefault="000F0E0E">
      <w:pPr>
        <w:spacing w:after="160" w:line="276" w:lineRule="auto"/>
        <w:jc w:val="both"/>
        <w:rPr>
          <w:b/>
          <w:bCs/>
          <w:lang w:val="fr"/>
        </w:rPr>
      </w:pPr>
      <w:r>
        <w:rPr>
          <w:rFonts w:eastAsia="DengXian"/>
          <w:b/>
          <w:bCs/>
          <w:kern w:val="2"/>
          <w:lang w:val="fr" w:eastAsia="zh-CN" w:bidi="ar"/>
        </w:rPr>
        <w:t>7. Sources complémentaires (perception et analyse)</w:t>
      </w:r>
    </w:p>
    <w:p w14:paraId="133CBBD7" w14:textId="77777777" w:rsidR="001B58C7" w:rsidRDefault="000F0E0E">
      <w:pPr>
        <w:numPr>
          <w:ilvl w:val="0"/>
          <w:numId w:val="15"/>
        </w:numPr>
        <w:spacing w:after="160" w:line="276" w:lineRule="auto"/>
        <w:jc w:val="both"/>
        <w:rPr>
          <w:rFonts w:eastAsia="DengXian"/>
          <w:kern w:val="2"/>
          <w:lang w:val="fr"/>
        </w:rPr>
      </w:pPr>
      <w:r>
        <w:rPr>
          <w:rFonts w:eastAsia="DengXian"/>
          <w:kern w:val="2"/>
          <w:lang w:val="fr"/>
        </w:rPr>
        <w:t>Études de perception en cours (à réaliser).</w:t>
      </w:r>
    </w:p>
    <w:p w14:paraId="1BFEF33C" w14:textId="77777777" w:rsidR="001B58C7" w:rsidRDefault="000F0E0E">
      <w:pPr>
        <w:numPr>
          <w:ilvl w:val="0"/>
          <w:numId w:val="15"/>
        </w:numPr>
        <w:spacing w:after="160" w:line="276" w:lineRule="auto"/>
        <w:jc w:val="both"/>
        <w:rPr>
          <w:rFonts w:eastAsia="DengXian"/>
          <w:kern w:val="2"/>
          <w:lang w:val="fr"/>
        </w:rPr>
      </w:pPr>
      <w:r>
        <w:rPr>
          <w:rFonts w:eastAsia="DengXian"/>
          <w:kern w:val="2"/>
          <w:lang w:val="fr"/>
        </w:rPr>
        <w:t xml:space="preserve">Témoignages (vidéos) des bénéficiaires recueillis lors des missions terrain (Kananga, Tshikapa, </w:t>
      </w:r>
      <w:proofErr w:type="spellStart"/>
      <w:r>
        <w:rPr>
          <w:rFonts w:eastAsia="DengXian"/>
          <w:kern w:val="2"/>
          <w:lang w:val="fr"/>
        </w:rPr>
        <w:t>Tshimbulu</w:t>
      </w:r>
      <w:proofErr w:type="spellEnd"/>
      <w:r>
        <w:rPr>
          <w:rFonts w:eastAsia="DengXian"/>
          <w:kern w:val="2"/>
          <w:lang w:val="fr"/>
        </w:rPr>
        <w:t xml:space="preserve">, </w:t>
      </w:r>
      <w:proofErr w:type="spellStart"/>
      <w:r>
        <w:rPr>
          <w:rFonts w:eastAsia="DengXian"/>
          <w:kern w:val="2"/>
          <w:lang w:val="fr"/>
        </w:rPr>
        <w:t>Kamwina</w:t>
      </w:r>
      <w:proofErr w:type="spellEnd"/>
      <w:r>
        <w:rPr>
          <w:rFonts w:eastAsia="DengXian"/>
          <w:kern w:val="2"/>
          <w:lang w:val="fr"/>
        </w:rPr>
        <w:t xml:space="preserve"> </w:t>
      </w:r>
      <w:proofErr w:type="spellStart"/>
      <w:r>
        <w:rPr>
          <w:rFonts w:eastAsia="DengXian"/>
          <w:kern w:val="2"/>
          <w:lang w:val="fr"/>
        </w:rPr>
        <w:t>Nsapu</w:t>
      </w:r>
      <w:proofErr w:type="spellEnd"/>
      <w:r>
        <w:rPr>
          <w:rFonts w:eastAsia="DengXian"/>
          <w:kern w:val="2"/>
          <w:lang w:val="fr"/>
        </w:rPr>
        <w:t>).</w:t>
      </w:r>
    </w:p>
    <w:p w14:paraId="1EC60D41" w14:textId="77777777" w:rsidR="001B58C7" w:rsidRDefault="000F0E0E">
      <w:pPr>
        <w:numPr>
          <w:ilvl w:val="0"/>
          <w:numId w:val="15"/>
        </w:numPr>
        <w:spacing w:after="160" w:line="276" w:lineRule="auto"/>
        <w:jc w:val="both"/>
        <w:rPr>
          <w:i/>
          <w:iCs/>
          <w:lang w:val="fr-FR"/>
        </w:rPr>
      </w:pPr>
      <w:r>
        <w:rPr>
          <w:rFonts w:eastAsia="DengXian"/>
          <w:kern w:val="2"/>
          <w:lang w:val="fr"/>
        </w:rPr>
        <w:t>Photos d’activités et des bénéficiaires.</w:t>
      </w:r>
    </w:p>
    <w:p w14:paraId="2EF742E4" w14:textId="77777777" w:rsidR="001B58C7" w:rsidRDefault="000F0E0E">
      <w:pPr>
        <w:ind w:left="-360"/>
        <w:rPr>
          <w:i/>
          <w:iCs/>
          <w:lang w:val="fr-FR"/>
        </w:rPr>
      </w:pPr>
      <w:r>
        <w:rPr>
          <w:i/>
          <w:iCs/>
          <w:lang w:val="fr-FR"/>
        </w:rPr>
        <w:t>Les données probantes peuvent être quantitatives ou qualitatives, mais elles doivent démontrer les progrès réalisés par rapport aux indicateurs de résultats du cadre de résultats du projet.</w:t>
      </w:r>
    </w:p>
    <w:p w14:paraId="5ECDFB38" w14:textId="77777777" w:rsidR="001B58C7" w:rsidRDefault="000F0E0E">
      <w:pPr>
        <w:ind w:left="-360"/>
        <w:rPr>
          <w:i/>
          <w:iCs/>
          <w:lang w:val="fr-FR"/>
        </w:rPr>
      </w:pPr>
      <w:r>
        <w:rPr>
          <w:i/>
          <w:iCs/>
          <w:lang w:val="fr-FR"/>
        </w:rPr>
        <w:t>Il peut s’agir d’enquêtes sur le projet (comme des sondages de perception), de rapports de surveillance, de documents gouvernementaux ou d’autres productions de connaissances qui ont été élaborés dans le cadre du projet.</w:t>
      </w:r>
    </w:p>
    <w:p w14:paraId="1F2B7DBF" w14:textId="77777777" w:rsidR="001B58C7" w:rsidRDefault="001B58C7">
      <w:pPr>
        <w:ind w:left="-360"/>
        <w:rPr>
          <w:i/>
          <w:iCs/>
          <w:lang w:val="fr-FR"/>
        </w:rPr>
      </w:pPr>
    </w:p>
    <w:p w14:paraId="6283B92A" w14:textId="77777777" w:rsidR="001B58C7" w:rsidRDefault="000F0E0E">
      <w:pPr>
        <w:spacing w:after="160" w:line="276" w:lineRule="auto"/>
        <w:ind w:left="-360"/>
        <w:jc w:val="both"/>
        <w:rPr>
          <w:lang w:val="fr"/>
        </w:rPr>
      </w:pPr>
      <w:r>
        <w:rPr>
          <w:rFonts w:eastAsia="DengXian"/>
          <w:kern w:val="2"/>
          <w:lang w:val="fr" w:eastAsia="zh-CN" w:bidi="ar"/>
        </w:rPr>
        <w:t xml:space="preserve">Oui, les résultats obtenus dans le cadre du projet illustrent de manière concrète et mesurable une contribution à la consolidation de la paix dans la province du Kasaï, particulièrement dans un contexte post-conflit marqué par la crise </w:t>
      </w:r>
      <w:proofErr w:type="spellStart"/>
      <w:r>
        <w:rPr>
          <w:rFonts w:eastAsia="DengXian"/>
          <w:kern w:val="2"/>
          <w:lang w:val="fr" w:eastAsia="zh-CN" w:bidi="ar"/>
        </w:rPr>
        <w:t>Kamuina</w:t>
      </w:r>
      <w:proofErr w:type="spellEnd"/>
      <w:r>
        <w:rPr>
          <w:rFonts w:eastAsia="DengXian"/>
          <w:kern w:val="2"/>
          <w:lang w:val="fr" w:eastAsia="zh-CN" w:bidi="ar"/>
        </w:rPr>
        <w:t xml:space="preserve"> </w:t>
      </w:r>
      <w:proofErr w:type="spellStart"/>
      <w:r>
        <w:rPr>
          <w:rFonts w:eastAsia="DengXian"/>
          <w:kern w:val="2"/>
          <w:lang w:val="fr" w:eastAsia="zh-CN" w:bidi="ar"/>
        </w:rPr>
        <w:t>Nsapu</w:t>
      </w:r>
      <w:proofErr w:type="spellEnd"/>
      <w:r>
        <w:rPr>
          <w:rFonts w:eastAsia="DengXian"/>
          <w:kern w:val="2"/>
          <w:lang w:val="fr" w:eastAsia="zh-CN" w:bidi="ar"/>
        </w:rPr>
        <w:t>. Plusieurs éléments permettent de mettre en évidence cet impact :</w:t>
      </w:r>
    </w:p>
    <w:p w14:paraId="7263639C" w14:textId="77777777" w:rsidR="001B58C7" w:rsidRDefault="000F0E0E">
      <w:pPr>
        <w:spacing w:after="160" w:line="276" w:lineRule="auto"/>
        <w:ind w:left="-360"/>
        <w:jc w:val="both"/>
        <w:rPr>
          <w:b/>
          <w:bCs/>
          <w:lang w:val="fr"/>
        </w:rPr>
      </w:pPr>
      <w:r>
        <w:rPr>
          <w:rFonts w:eastAsia="DengXian"/>
          <w:b/>
          <w:bCs/>
          <w:kern w:val="2"/>
          <w:lang w:val="fr" w:eastAsia="zh-CN" w:bidi="ar"/>
        </w:rPr>
        <w:t>1. Lutte contre l’impunité et restauration de l’État de droit</w:t>
      </w:r>
    </w:p>
    <w:p w14:paraId="69F15254" w14:textId="77777777" w:rsidR="001B58C7" w:rsidRDefault="000F0E0E">
      <w:pPr>
        <w:spacing w:after="160" w:line="276" w:lineRule="auto"/>
        <w:ind w:left="-360"/>
        <w:jc w:val="both"/>
        <w:rPr>
          <w:lang w:val="fr"/>
        </w:rPr>
      </w:pPr>
      <w:r>
        <w:rPr>
          <w:rFonts w:eastAsia="DengXian"/>
          <w:kern w:val="2"/>
          <w:lang w:val="fr" w:eastAsia="zh-CN" w:bidi="ar"/>
        </w:rPr>
        <w:t>L’un des résultats les plus significatifs en matière de consolidation de la paix réside dans l’instruction d’un dossier prioritaire en matière de crimes de droit international et le jugement de quatre prévenus devant le Tribunal Militaire de Garnison de Tshikapa.</w:t>
      </w:r>
    </w:p>
    <w:p w14:paraId="69F047B1" w14:textId="77777777" w:rsidR="001B58C7" w:rsidRDefault="000F0E0E">
      <w:pPr>
        <w:spacing w:after="160" w:line="276" w:lineRule="auto"/>
        <w:ind w:left="-360"/>
        <w:jc w:val="both"/>
        <w:rPr>
          <w:lang w:val="fr"/>
        </w:rPr>
      </w:pPr>
      <w:r>
        <w:rPr>
          <w:rFonts w:eastAsia="DengXian"/>
          <w:kern w:val="2"/>
          <w:lang w:val="fr" w:eastAsia="zh-CN" w:bidi="ar"/>
        </w:rPr>
        <w:t>La tenue effective des audiences foraines, ayant abouti à un jugement définitif sur le fond ainsi qu’à une décision rendue en audience publique, constitue une avancée majeure dans la lutte contre l’impunité. Dans un contexte où les crimes graves commis pendant le conflit étaient longtemps restés sans réponse judiciaire, ces actions permettent :</w:t>
      </w:r>
    </w:p>
    <w:p w14:paraId="41FB2FB6" w14:textId="77777777" w:rsidR="001B58C7" w:rsidRDefault="000F0E0E">
      <w:pPr>
        <w:numPr>
          <w:ilvl w:val="0"/>
          <w:numId w:val="16"/>
        </w:numPr>
        <w:spacing w:after="160" w:line="276" w:lineRule="auto"/>
        <w:ind w:left="0"/>
        <w:jc w:val="both"/>
        <w:rPr>
          <w:rFonts w:eastAsia="DengXian"/>
          <w:kern w:val="2"/>
          <w:lang w:val="fr"/>
        </w:rPr>
      </w:pPr>
      <w:r>
        <w:rPr>
          <w:rFonts w:eastAsia="DengXian"/>
          <w:kern w:val="2"/>
          <w:lang w:val="fr"/>
        </w:rPr>
        <w:t>De renforcer la crédibilité des institutions judiciaires ;</w:t>
      </w:r>
    </w:p>
    <w:p w14:paraId="5C622DDC" w14:textId="77777777" w:rsidR="001B58C7" w:rsidRDefault="000F0E0E">
      <w:pPr>
        <w:numPr>
          <w:ilvl w:val="0"/>
          <w:numId w:val="16"/>
        </w:numPr>
        <w:spacing w:after="160" w:line="276" w:lineRule="auto"/>
        <w:ind w:left="0"/>
        <w:jc w:val="both"/>
        <w:rPr>
          <w:rFonts w:eastAsia="DengXian"/>
          <w:kern w:val="2"/>
          <w:lang w:val="fr"/>
        </w:rPr>
      </w:pPr>
      <w:r>
        <w:rPr>
          <w:rFonts w:eastAsia="DengXian"/>
          <w:kern w:val="2"/>
          <w:lang w:val="fr"/>
        </w:rPr>
        <w:t>D’envoyer un message clair de responsabilité pénale ;</w:t>
      </w:r>
    </w:p>
    <w:p w14:paraId="3D863B78" w14:textId="77777777" w:rsidR="001B58C7" w:rsidRDefault="000F0E0E">
      <w:pPr>
        <w:numPr>
          <w:ilvl w:val="0"/>
          <w:numId w:val="16"/>
        </w:numPr>
        <w:spacing w:after="160" w:line="276" w:lineRule="auto"/>
        <w:ind w:left="0"/>
        <w:jc w:val="both"/>
        <w:rPr>
          <w:rFonts w:eastAsia="DengXian"/>
          <w:kern w:val="2"/>
          <w:lang w:val="fr"/>
        </w:rPr>
      </w:pPr>
      <w:r>
        <w:rPr>
          <w:rFonts w:eastAsia="DengXian"/>
          <w:kern w:val="2"/>
          <w:lang w:val="fr"/>
        </w:rPr>
        <w:t>De dissuader la commission de nouvelles violations.</w:t>
      </w:r>
    </w:p>
    <w:p w14:paraId="61A44FAC" w14:textId="77777777" w:rsidR="001B58C7" w:rsidRDefault="000F0E0E">
      <w:pPr>
        <w:spacing w:after="160" w:line="276" w:lineRule="auto"/>
        <w:ind w:left="-360"/>
        <w:jc w:val="both"/>
        <w:rPr>
          <w:lang w:val="fr"/>
        </w:rPr>
      </w:pPr>
      <w:r>
        <w:rPr>
          <w:rFonts w:eastAsia="DengXian"/>
          <w:kern w:val="2"/>
          <w:lang w:val="fr" w:eastAsia="zh-CN" w:bidi="ar"/>
        </w:rPr>
        <w:lastRenderedPageBreak/>
        <w:t>La justice rendue contribue ainsi à rétablir l’ordre juridique et à prévenir les cycles de violences, éléments essentiels à une paix durable.</w:t>
      </w:r>
    </w:p>
    <w:p w14:paraId="77915498" w14:textId="77777777" w:rsidR="001B58C7" w:rsidRDefault="000F0E0E">
      <w:pPr>
        <w:spacing w:after="160" w:line="276" w:lineRule="auto"/>
        <w:ind w:left="-360"/>
        <w:jc w:val="both"/>
        <w:rPr>
          <w:b/>
          <w:bCs/>
          <w:lang w:val="fr"/>
        </w:rPr>
      </w:pPr>
      <w:r>
        <w:rPr>
          <w:rFonts w:eastAsia="DengXian"/>
          <w:b/>
          <w:bCs/>
          <w:kern w:val="2"/>
          <w:lang w:val="fr" w:eastAsia="zh-CN" w:bidi="ar"/>
        </w:rPr>
        <w:t>2. Accès accru à la justice pour les victimes et reconnaissance de leurs droits</w:t>
      </w:r>
    </w:p>
    <w:p w14:paraId="1D6746A1" w14:textId="77777777" w:rsidR="001B58C7" w:rsidRDefault="000F0E0E">
      <w:pPr>
        <w:spacing w:after="160" w:line="276" w:lineRule="auto"/>
        <w:ind w:left="-360"/>
        <w:jc w:val="both"/>
        <w:rPr>
          <w:lang w:val="fr"/>
        </w:rPr>
      </w:pPr>
      <w:r>
        <w:rPr>
          <w:rFonts w:eastAsia="DengXian"/>
          <w:kern w:val="2"/>
          <w:lang w:val="fr" w:eastAsia="zh-CN" w:bidi="ar"/>
        </w:rPr>
        <w:t>L’accès de 145 victimes, dont 60 % de femmes et de filles, à une assistance judiciaire gratuite constitue un autre résultat clé. Cet accompagnement a permis :</w:t>
      </w:r>
    </w:p>
    <w:p w14:paraId="1E0D4843" w14:textId="77777777" w:rsidR="001B58C7" w:rsidRDefault="000F0E0E">
      <w:pPr>
        <w:numPr>
          <w:ilvl w:val="0"/>
          <w:numId w:val="17"/>
        </w:numPr>
        <w:spacing w:after="160" w:line="276" w:lineRule="auto"/>
        <w:ind w:left="0"/>
        <w:jc w:val="both"/>
        <w:rPr>
          <w:rFonts w:eastAsia="DengXian"/>
          <w:kern w:val="2"/>
          <w:lang w:val="fr"/>
        </w:rPr>
      </w:pPr>
      <w:r>
        <w:rPr>
          <w:rFonts w:eastAsia="DengXian"/>
          <w:kern w:val="2"/>
          <w:lang w:val="fr"/>
        </w:rPr>
        <w:t>La reconnaissance officielle du statut de victime ;</w:t>
      </w:r>
    </w:p>
    <w:p w14:paraId="7E99E789" w14:textId="77777777" w:rsidR="001B58C7" w:rsidRDefault="000F0E0E">
      <w:pPr>
        <w:numPr>
          <w:ilvl w:val="0"/>
          <w:numId w:val="17"/>
        </w:numPr>
        <w:spacing w:after="160" w:line="276" w:lineRule="auto"/>
        <w:ind w:left="0"/>
        <w:jc w:val="both"/>
        <w:rPr>
          <w:rFonts w:eastAsia="DengXian"/>
          <w:kern w:val="2"/>
          <w:lang w:val="fr"/>
        </w:rPr>
      </w:pPr>
      <w:r>
        <w:rPr>
          <w:rFonts w:eastAsia="DengXian"/>
          <w:kern w:val="2"/>
          <w:lang w:val="fr"/>
        </w:rPr>
        <w:t>La possibilité de participer aux audiences ;</w:t>
      </w:r>
    </w:p>
    <w:p w14:paraId="7154719F" w14:textId="77777777" w:rsidR="001B58C7" w:rsidRDefault="000F0E0E">
      <w:pPr>
        <w:numPr>
          <w:ilvl w:val="0"/>
          <w:numId w:val="17"/>
        </w:numPr>
        <w:spacing w:after="160" w:line="276" w:lineRule="auto"/>
        <w:ind w:left="0"/>
        <w:jc w:val="both"/>
        <w:rPr>
          <w:rFonts w:eastAsia="DengXian"/>
          <w:kern w:val="2"/>
          <w:lang w:val="fr"/>
        </w:rPr>
      </w:pPr>
      <w:r>
        <w:rPr>
          <w:rFonts w:eastAsia="DengXian"/>
          <w:kern w:val="2"/>
          <w:lang w:val="fr"/>
        </w:rPr>
        <w:t>L’expression des souffrances subies dans un cadre judiciaire formel.</w:t>
      </w:r>
    </w:p>
    <w:p w14:paraId="4F97CE88" w14:textId="77777777" w:rsidR="001B58C7" w:rsidRDefault="000F0E0E">
      <w:pPr>
        <w:spacing w:after="160" w:line="276" w:lineRule="auto"/>
        <w:ind w:left="-360"/>
        <w:jc w:val="both"/>
        <w:rPr>
          <w:lang w:val="fr"/>
        </w:rPr>
      </w:pPr>
      <w:r>
        <w:rPr>
          <w:rFonts w:eastAsia="DengXian"/>
          <w:kern w:val="2"/>
          <w:lang w:val="fr" w:eastAsia="zh-CN" w:bidi="ar"/>
        </w:rPr>
        <w:t>Ce processus contribue à la réparation symbolique des victimes et à leur réhabilitation sociale. En donnant la parole aux victimes, le projet participe à restaurer leur dignité et à renforcer la cohésion sociale, facteurs déterminants dans la consolidation de la paix.</w:t>
      </w:r>
    </w:p>
    <w:p w14:paraId="0DDB154B" w14:textId="77777777" w:rsidR="001B58C7" w:rsidRDefault="000F0E0E">
      <w:pPr>
        <w:spacing w:after="160" w:line="276" w:lineRule="auto"/>
        <w:ind w:left="-360"/>
        <w:jc w:val="both"/>
        <w:rPr>
          <w:b/>
          <w:bCs/>
          <w:lang w:val="fr"/>
        </w:rPr>
      </w:pPr>
      <w:r>
        <w:rPr>
          <w:rFonts w:eastAsia="DengXian"/>
          <w:b/>
          <w:bCs/>
          <w:kern w:val="2"/>
          <w:lang w:val="fr" w:eastAsia="zh-CN" w:bidi="ar"/>
        </w:rPr>
        <w:t>3. Rapprochement de la justice des communautés affectées</w:t>
      </w:r>
    </w:p>
    <w:p w14:paraId="28CCA894" w14:textId="77777777" w:rsidR="001B58C7" w:rsidRDefault="000F0E0E">
      <w:pPr>
        <w:spacing w:after="160" w:line="276" w:lineRule="auto"/>
        <w:ind w:left="-360"/>
        <w:jc w:val="both"/>
        <w:rPr>
          <w:lang w:val="fr"/>
        </w:rPr>
      </w:pPr>
      <w:r>
        <w:rPr>
          <w:rFonts w:eastAsia="DengXian"/>
          <w:kern w:val="2"/>
          <w:lang w:val="fr" w:eastAsia="zh-CN" w:bidi="ar"/>
        </w:rPr>
        <w:t xml:space="preserve">L’organisation d’audiences foraines à LUKUAYA, dans le territoire de </w:t>
      </w:r>
      <w:proofErr w:type="spellStart"/>
      <w:r>
        <w:rPr>
          <w:rFonts w:eastAsia="DengXian"/>
          <w:kern w:val="2"/>
          <w:lang w:val="fr" w:eastAsia="zh-CN" w:bidi="ar"/>
        </w:rPr>
        <w:t>Luebo</w:t>
      </w:r>
      <w:proofErr w:type="spellEnd"/>
      <w:r>
        <w:rPr>
          <w:rFonts w:eastAsia="DengXian"/>
          <w:kern w:val="2"/>
          <w:lang w:val="fr" w:eastAsia="zh-CN" w:bidi="ar"/>
        </w:rPr>
        <w:t>, représente un mécanisme essentiel de justice de proximité. Ce dispositif a permis :</w:t>
      </w:r>
    </w:p>
    <w:p w14:paraId="4E6BF06F" w14:textId="77777777" w:rsidR="001B58C7" w:rsidRDefault="000F0E0E">
      <w:pPr>
        <w:numPr>
          <w:ilvl w:val="0"/>
          <w:numId w:val="18"/>
        </w:numPr>
        <w:spacing w:after="160" w:line="276" w:lineRule="auto"/>
        <w:ind w:left="0"/>
        <w:jc w:val="both"/>
        <w:rPr>
          <w:rFonts w:eastAsia="DengXian"/>
          <w:kern w:val="2"/>
          <w:lang w:val="fr"/>
        </w:rPr>
      </w:pPr>
      <w:r>
        <w:rPr>
          <w:rFonts w:eastAsia="DengXian"/>
          <w:kern w:val="2"/>
          <w:lang w:val="fr"/>
        </w:rPr>
        <w:t>De réduire la distance géographique entre les institutions judiciaires et les populations ;</w:t>
      </w:r>
    </w:p>
    <w:p w14:paraId="1DF3B4C8" w14:textId="77777777" w:rsidR="001B58C7" w:rsidRDefault="000F0E0E">
      <w:pPr>
        <w:numPr>
          <w:ilvl w:val="0"/>
          <w:numId w:val="18"/>
        </w:numPr>
        <w:spacing w:after="160" w:line="276" w:lineRule="auto"/>
        <w:ind w:left="0"/>
        <w:jc w:val="both"/>
        <w:rPr>
          <w:rFonts w:eastAsia="DengXian"/>
          <w:kern w:val="2"/>
          <w:lang w:val="fr"/>
        </w:rPr>
      </w:pPr>
      <w:r>
        <w:rPr>
          <w:rFonts w:eastAsia="DengXian"/>
          <w:kern w:val="2"/>
          <w:lang w:val="fr"/>
        </w:rPr>
        <w:t>De surmonter les obstacles économiques empêchant l’accès à la justice ;</w:t>
      </w:r>
    </w:p>
    <w:p w14:paraId="296B2A0F" w14:textId="77777777" w:rsidR="001B58C7" w:rsidRDefault="000F0E0E">
      <w:pPr>
        <w:numPr>
          <w:ilvl w:val="0"/>
          <w:numId w:val="18"/>
        </w:numPr>
        <w:spacing w:after="160" w:line="276" w:lineRule="auto"/>
        <w:ind w:left="0"/>
        <w:jc w:val="both"/>
        <w:rPr>
          <w:rFonts w:eastAsia="DengXian"/>
          <w:kern w:val="2"/>
          <w:lang w:val="fr"/>
        </w:rPr>
      </w:pPr>
      <w:r>
        <w:rPr>
          <w:rFonts w:eastAsia="DengXian"/>
          <w:kern w:val="2"/>
          <w:lang w:val="fr"/>
        </w:rPr>
        <w:t>D’impliquer directement les communautés dans le processus judiciaire.</w:t>
      </w:r>
    </w:p>
    <w:p w14:paraId="0F394D48" w14:textId="77777777" w:rsidR="001B58C7" w:rsidRDefault="000F0E0E">
      <w:pPr>
        <w:spacing w:after="160" w:line="276" w:lineRule="auto"/>
        <w:ind w:left="-360"/>
        <w:jc w:val="both"/>
        <w:rPr>
          <w:lang w:val="fr"/>
        </w:rPr>
      </w:pPr>
      <w:r>
        <w:rPr>
          <w:rFonts w:eastAsia="DengXian"/>
          <w:kern w:val="2"/>
          <w:lang w:val="fr" w:eastAsia="zh-CN" w:bidi="ar"/>
        </w:rPr>
        <w:t>La participation active de la population aux audiences publiques traduit une réappropriation de la justice par les citoyens. Ce rapprochement favorise la confiance entre les communautés et les institutions étatiques, condition indispensable à la stabilisation sociale.</w:t>
      </w:r>
    </w:p>
    <w:p w14:paraId="24566FBE" w14:textId="77777777" w:rsidR="001B58C7" w:rsidRDefault="000F0E0E">
      <w:pPr>
        <w:spacing w:after="160" w:line="276" w:lineRule="auto"/>
        <w:ind w:left="-360"/>
        <w:jc w:val="both"/>
        <w:rPr>
          <w:b/>
          <w:bCs/>
          <w:lang w:val="fr"/>
        </w:rPr>
      </w:pPr>
      <w:r>
        <w:rPr>
          <w:rFonts w:eastAsia="DengXian"/>
          <w:b/>
          <w:bCs/>
          <w:kern w:val="2"/>
          <w:lang w:val="fr" w:eastAsia="zh-CN" w:bidi="ar"/>
        </w:rPr>
        <w:t>4. Renforcement de la cohésion sociale et dialogue communautaire</w:t>
      </w:r>
    </w:p>
    <w:p w14:paraId="2309826C" w14:textId="77777777" w:rsidR="001B58C7" w:rsidRDefault="000F0E0E">
      <w:pPr>
        <w:spacing w:after="160" w:line="276" w:lineRule="auto"/>
        <w:ind w:left="-360"/>
        <w:jc w:val="both"/>
        <w:rPr>
          <w:lang w:val="fr"/>
        </w:rPr>
      </w:pPr>
      <w:r>
        <w:rPr>
          <w:rFonts w:eastAsia="DengXian"/>
          <w:kern w:val="2"/>
          <w:lang w:val="fr" w:eastAsia="zh-CN" w:bidi="ar"/>
        </w:rPr>
        <w:t xml:space="preserve">Sur ce volet, il y a notamment la signature d’un acte d’engagement entre les groupements </w:t>
      </w:r>
      <w:proofErr w:type="spellStart"/>
      <w:r>
        <w:rPr>
          <w:rFonts w:eastAsia="DengXian"/>
          <w:kern w:val="2"/>
          <w:lang w:val="fr" w:eastAsia="zh-CN" w:bidi="ar"/>
        </w:rPr>
        <w:t>Bolempo</w:t>
      </w:r>
      <w:proofErr w:type="spellEnd"/>
      <w:r>
        <w:rPr>
          <w:rFonts w:eastAsia="DengXian"/>
          <w:kern w:val="2"/>
          <w:lang w:val="fr" w:eastAsia="zh-CN" w:bidi="ar"/>
        </w:rPr>
        <w:t xml:space="preserve"> et Bena-</w:t>
      </w:r>
      <w:proofErr w:type="spellStart"/>
      <w:r>
        <w:rPr>
          <w:rFonts w:eastAsia="DengXian"/>
          <w:kern w:val="2"/>
          <w:lang w:val="fr" w:eastAsia="zh-CN" w:bidi="ar"/>
        </w:rPr>
        <w:t>Milombe</w:t>
      </w:r>
      <w:proofErr w:type="spellEnd"/>
      <w:r>
        <w:rPr>
          <w:rFonts w:eastAsia="DengXian"/>
          <w:kern w:val="2"/>
          <w:lang w:val="fr" w:eastAsia="zh-CN" w:bidi="ar"/>
        </w:rPr>
        <w:t xml:space="preserve"> (territoire de </w:t>
      </w:r>
      <w:proofErr w:type="spellStart"/>
      <w:r>
        <w:rPr>
          <w:rFonts w:eastAsia="DengXian"/>
          <w:kern w:val="2"/>
          <w:lang w:val="fr" w:eastAsia="zh-CN" w:bidi="ar"/>
        </w:rPr>
        <w:t>Mweka</w:t>
      </w:r>
      <w:proofErr w:type="spellEnd"/>
      <w:r>
        <w:rPr>
          <w:rFonts w:eastAsia="DengXian"/>
          <w:kern w:val="2"/>
          <w:lang w:val="fr" w:eastAsia="zh-CN" w:bidi="ar"/>
        </w:rPr>
        <w:t xml:space="preserve">) dans le cadre de la résolution du conflit de </w:t>
      </w:r>
      <w:proofErr w:type="spellStart"/>
      <w:r>
        <w:rPr>
          <w:rFonts w:eastAsia="DengXian"/>
          <w:kern w:val="2"/>
          <w:lang w:val="fr" w:eastAsia="zh-CN" w:bidi="ar"/>
        </w:rPr>
        <w:t>Bakwakenge</w:t>
      </w:r>
      <w:proofErr w:type="spellEnd"/>
      <w:r>
        <w:rPr>
          <w:rFonts w:eastAsia="DengXian"/>
          <w:kern w:val="2"/>
          <w:lang w:val="fr" w:eastAsia="zh-CN" w:bidi="ar"/>
        </w:rPr>
        <w:t>, lié au différend de limites entre le Kasaï et le Kasaï central, les activités de sensibilisation menées auprès de la population de LUKUAYA qui ont permis de promouvoir une meilleure compréhension des enjeux liés aux crimes de droit international. Elles ont également encouragé :</w:t>
      </w:r>
    </w:p>
    <w:p w14:paraId="3EDD3E21" w14:textId="77777777" w:rsidR="001B58C7" w:rsidRDefault="000F0E0E">
      <w:pPr>
        <w:numPr>
          <w:ilvl w:val="0"/>
          <w:numId w:val="19"/>
        </w:numPr>
        <w:spacing w:after="160" w:line="276" w:lineRule="auto"/>
        <w:ind w:left="0"/>
        <w:jc w:val="both"/>
        <w:rPr>
          <w:rFonts w:eastAsia="DengXian"/>
          <w:kern w:val="2"/>
          <w:lang w:val="fr"/>
        </w:rPr>
      </w:pPr>
      <w:r>
        <w:rPr>
          <w:rFonts w:eastAsia="DengXian"/>
          <w:kern w:val="2"/>
          <w:lang w:val="fr"/>
        </w:rPr>
        <w:t>La participation des communautés aux audiences ;</w:t>
      </w:r>
    </w:p>
    <w:p w14:paraId="48A54A1C" w14:textId="77777777" w:rsidR="001B58C7" w:rsidRDefault="000F0E0E">
      <w:pPr>
        <w:numPr>
          <w:ilvl w:val="0"/>
          <w:numId w:val="19"/>
        </w:numPr>
        <w:spacing w:after="160" w:line="276" w:lineRule="auto"/>
        <w:ind w:left="0"/>
        <w:jc w:val="both"/>
        <w:rPr>
          <w:rFonts w:eastAsia="DengXian"/>
          <w:kern w:val="2"/>
          <w:lang w:val="fr"/>
        </w:rPr>
      </w:pPr>
      <w:r>
        <w:rPr>
          <w:rFonts w:eastAsia="DengXian"/>
          <w:kern w:val="2"/>
          <w:lang w:val="fr"/>
        </w:rPr>
        <w:t>Le dialogue autour des responsabilités individuelles ;</w:t>
      </w:r>
    </w:p>
    <w:p w14:paraId="0818F103" w14:textId="77777777" w:rsidR="001B58C7" w:rsidRDefault="000F0E0E">
      <w:pPr>
        <w:numPr>
          <w:ilvl w:val="0"/>
          <w:numId w:val="19"/>
        </w:numPr>
        <w:spacing w:after="160" w:line="276" w:lineRule="auto"/>
        <w:ind w:left="0"/>
        <w:jc w:val="both"/>
        <w:rPr>
          <w:rFonts w:eastAsia="DengXian"/>
          <w:kern w:val="2"/>
          <w:lang w:val="fr"/>
        </w:rPr>
      </w:pPr>
      <w:r>
        <w:rPr>
          <w:rFonts w:eastAsia="DengXian"/>
          <w:kern w:val="2"/>
          <w:lang w:val="fr"/>
        </w:rPr>
        <w:t>L’acceptation des décisions judiciaires.</w:t>
      </w:r>
    </w:p>
    <w:p w14:paraId="3FE2B597" w14:textId="77777777" w:rsidR="001B58C7" w:rsidRDefault="000F0E0E">
      <w:pPr>
        <w:spacing w:after="160" w:line="276" w:lineRule="auto"/>
        <w:ind w:left="-360"/>
        <w:jc w:val="both"/>
        <w:rPr>
          <w:lang w:val="fr"/>
        </w:rPr>
      </w:pPr>
      <w:r>
        <w:rPr>
          <w:rFonts w:eastAsia="DengXian"/>
          <w:kern w:val="2"/>
          <w:lang w:val="fr" w:eastAsia="zh-CN" w:bidi="ar"/>
        </w:rPr>
        <w:t>En favorisant une prise de conscience collective, ces actions contribuent à atténuer les tensions sociales et à prévenir les sentiments de vengeance ou de justice privée. La justice devient ainsi un outil de pacification sociale.</w:t>
      </w:r>
    </w:p>
    <w:p w14:paraId="775D2FDA" w14:textId="77777777" w:rsidR="001B58C7" w:rsidRDefault="000F0E0E">
      <w:pPr>
        <w:spacing w:after="160" w:line="276" w:lineRule="auto"/>
        <w:ind w:left="-360"/>
        <w:jc w:val="both"/>
        <w:rPr>
          <w:b/>
          <w:bCs/>
          <w:lang w:val="fr"/>
        </w:rPr>
      </w:pPr>
      <w:r>
        <w:rPr>
          <w:rFonts w:eastAsia="DengXian"/>
          <w:b/>
          <w:bCs/>
          <w:kern w:val="2"/>
          <w:lang w:val="fr" w:eastAsia="zh-CN" w:bidi="ar"/>
        </w:rPr>
        <w:t>5. Renforcement institutionnel et coordination des acteurs judiciaires</w:t>
      </w:r>
    </w:p>
    <w:p w14:paraId="4D01C1C5" w14:textId="77777777" w:rsidR="001B58C7" w:rsidRDefault="000F0E0E">
      <w:pPr>
        <w:spacing w:after="160" w:line="276" w:lineRule="auto"/>
        <w:ind w:left="-360"/>
        <w:jc w:val="both"/>
        <w:rPr>
          <w:lang w:val="fr"/>
        </w:rPr>
      </w:pPr>
      <w:r>
        <w:rPr>
          <w:rFonts w:eastAsia="DengXian"/>
          <w:kern w:val="2"/>
          <w:lang w:val="fr" w:eastAsia="zh-CN" w:bidi="ar"/>
        </w:rPr>
        <w:lastRenderedPageBreak/>
        <w:t>Mise en place d’un système de suivi des incidents de protection et des conflits suivi d’un renforcement des capacités des acteurs étatiques clés. En plus, appui aux deux cadres de concertation des acteurs judiciaires et à l’élaboration des stratégies provinciales de priorisation des poursuites constitue un levier stratégique pour la consolidation de la paix. Ces mécanismes ont permis :</w:t>
      </w:r>
    </w:p>
    <w:p w14:paraId="57737AE8" w14:textId="77777777" w:rsidR="001B58C7" w:rsidRDefault="000F0E0E">
      <w:pPr>
        <w:numPr>
          <w:ilvl w:val="0"/>
          <w:numId w:val="20"/>
        </w:numPr>
        <w:spacing w:after="160" w:line="276" w:lineRule="auto"/>
        <w:ind w:left="0"/>
        <w:jc w:val="both"/>
        <w:rPr>
          <w:rFonts w:eastAsia="DengXian"/>
          <w:kern w:val="2"/>
          <w:lang w:val="fr"/>
        </w:rPr>
      </w:pPr>
      <w:r>
        <w:rPr>
          <w:rFonts w:eastAsia="DengXian"/>
          <w:kern w:val="2"/>
          <w:lang w:val="fr"/>
        </w:rPr>
        <w:t>D’améliorer la coordination entre les institutions judiciaires ;</w:t>
      </w:r>
    </w:p>
    <w:p w14:paraId="043EF60B" w14:textId="77777777" w:rsidR="001B58C7" w:rsidRDefault="000F0E0E">
      <w:pPr>
        <w:numPr>
          <w:ilvl w:val="0"/>
          <w:numId w:val="20"/>
        </w:numPr>
        <w:spacing w:after="160" w:line="276" w:lineRule="auto"/>
        <w:ind w:left="0"/>
        <w:jc w:val="both"/>
        <w:rPr>
          <w:rFonts w:eastAsia="DengXian"/>
          <w:kern w:val="2"/>
          <w:lang w:val="fr"/>
        </w:rPr>
      </w:pPr>
      <w:r>
        <w:rPr>
          <w:rFonts w:eastAsia="DengXian"/>
          <w:kern w:val="2"/>
          <w:lang w:val="fr"/>
        </w:rPr>
        <w:t>De rationaliser la gestion des dossiers liés aux crimes graves ;</w:t>
      </w:r>
    </w:p>
    <w:p w14:paraId="7E71BCB7" w14:textId="77777777" w:rsidR="001B58C7" w:rsidRDefault="000F0E0E">
      <w:pPr>
        <w:numPr>
          <w:ilvl w:val="0"/>
          <w:numId w:val="20"/>
        </w:numPr>
        <w:spacing w:after="160" w:line="276" w:lineRule="auto"/>
        <w:ind w:left="0"/>
        <w:jc w:val="both"/>
        <w:rPr>
          <w:rFonts w:eastAsia="DengXian"/>
          <w:kern w:val="2"/>
          <w:lang w:val="fr"/>
        </w:rPr>
      </w:pPr>
      <w:r>
        <w:rPr>
          <w:rFonts w:eastAsia="DengXian"/>
          <w:kern w:val="2"/>
          <w:lang w:val="fr"/>
        </w:rPr>
        <w:t>D’assurer une approche cohérente et structurée des poursuites.</w:t>
      </w:r>
    </w:p>
    <w:p w14:paraId="6C61A593" w14:textId="77777777" w:rsidR="001B58C7" w:rsidRDefault="000F0E0E">
      <w:pPr>
        <w:spacing w:after="160" w:line="276" w:lineRule="auto"/>
        <w:ind w:left="-360"/>
        <w:jc w:val="both"/>
        <w:rPr>
          <w:lang w:val="fr"/>
        </w:rPr>
      </w:pPr>
      <w:r>
        <w:rPr>
          <w:rFonts w:eastAsia="DengXian"/>
          <w:kern w:val="2"/>
          <w:lang w:val="fr" w:eastAsia="zh-CN" w:bidi="ar"/>
        </w:rPr>
        <w:t>Cette dynamique institutionnelle renforce la capacité de l’État à répondre aux violations des droits humains de manière efficace et durable, réduisant ainsi les risques de résurgence des conflits.</w:t>
      </w:r>
    </w:p>
    <w:p w14:paraId="7919E439" w14:textId="77777777" w:rsidR="001B58C7" w:rsidRDefault="000F0E0E">
      <w:pPr>
        <w:spacing w:after="160" w:line="276" w:lineRule="auto"/>
        <w:ind w:left="-360"/>
        <w:jc w:val="both"/>
        <w:rPr>
          <w:b/>
          <w:bCs/>
          <w:lang w:val="fr"/>
        </w:rPr>
      </w:pPr>
      <w:r>
        <w:rPr>
          <w:rFonts w:eastAsia="DengXian"/>
          <w:b/>
          <w:bCs/>
          <w:kern w:val="2"/>
          <w:lang w:val="fr" w:eastAsia="zh-CN" w:bidi="ar"/>
        </w:rPr>
        <w:t>6. Inclusion des femmes et contribution à une paix durable</w:t>
      </w:r>
    </w:p>
    <w:p w14:paraId="7155473B" w14:textId="77777777" w:rsidR="001B58C7" w:rsidRDefault="000F0E0E">
      <w:pPr>
        <w:spacing w:after="160" w:line="276" w:lineRule="auto"/>
        <w:ind w:left="-360"/>
        <w:jc w:val="both"/>
        <w:rPr>
          <w:lang w:val="fr"/>
        </w:rPr>
      </w:pPr>
      <w:r>
        <w:rPr>
          <w:rFonts w:eastAsia="DengXian"/>
          <w:kern w:val="2"/>
          <w:lang w:val="fr" w:eastAsia="zh-CN" w:bidi="ar"/>
        </w:rPr>
        <w:t>La participation significative des femmes et des filles parmi les victimes ayant accédé à la justice renforce l’inclusivité du processus de consolidation de la paix. Leur implication permet :</w:t>
      </w:r>
    </w:p>
    <w:p w14:paraId="6F9A8B41" w14:textId="77777777" w:rsidR="001B58C7" w:rsidRDefault="000F0E0E">
      <w:pPr>
        <w:numPr>
          <w:ilvl w:val="0"/>
          <w:numId w:val="21"/>
        </w:numPr>
        <w:spacing w:after="160" w:line="276" w:lineRule="auto"/>
        <w:ind w:left="0"/>
        <w:jc w:val="both"/>
        <w:rPr>
          <w:rFonts w:eastAsia="DengXian"/>
          <w:kern w:val="2"/>
          <w:lang w:val="fr"/>
        </w:rPr>
      </w:pPr>
      <w:r>
        <w:rPr>
          <w:rFonts w:eastAsia="DengXian"/>
          <w:kern w:val="2"/>
          <w:lang w:val="fr"/>
        </w:rPr>
        <w:t>De prendre en compte les impacts différenciés du conflit ;</w:t>
      </w:r>
    </w:p>
    <w:p w14:paraId="16DD4150" w14:textId="77777777" w:rsidR="001B58C7" w:rsidRDefault="000F0E0E">
      <w:pPr>
        <w:numPr>
          <w:ilvl w:val="0"/>
          <w:numId w:val="21"/>
        </w:numPr>
        <w:spacing w:after="160" w:line="276" w:lineRule="auto"/>
        <w:ind w:left="0"/>
        <w:jc w:val="both"/>
        <w:rPr>
          <w:rFonts w:eastAsia="DengXian"/>
          <w:kern w:val="2"/>
          <w:lang w:val="fr"/>
        </w:rPr>
      </w:pPr>
      <w:r>
        <w:rPr>
          <w:rFonts w:eastAsia="DengXian"/>
          <w:kern w:val="2"/>
          <w:lang w:val="fr"/>
        </w:rPr>
        <w:t>De promouvoir une justice sensible au genre ;</w:t>
      </w:r>
    </w:p>
    <w:p w14:paraId="411F67EA" w14:textId="77777777" w:rsidR="001B58C7" w:rsidRDefault="000F0E0E">
      <w:pPr>
        <w:numPr>
          <w:ilvl w:val="0"/>
          <w:numId w:val="21"/>
        </w:numPr>
        <w:spacing w:after="160" w:line="276" w:lineRule="auto"/>
        <w:ind w:left="0"/>
        <w:jc w:val="both"/>
        <w:rPr>
          <w:rFonts w:eastAsia="DengXian"/>
          <w:kern w:val="2"/>
          <w:lang w:val="fr"/>
        </w:rPr>
      </w:pPr>
      <w:r>
        <w:rPr>
          <w:rFonts w:eastAsia="DengXian"/>
          <w:kern w:val="2"/>
          <w:lang w:val="fr"/>
        </w:rPr>
        <w:t>De renforcer leur rôle dans les dynamiques de reconstruction sociale.</w:t>
      </w:r>
    </w:p>
    <w:p w14:paraId="6CE24B48" w14:textId="77777777" w:rsidR="001B58C7" w:rsidRDefault="000F0E0E">
      <w:pPr>
        <w:spacing w:after="160" w:line="276" w:lineRule="auto"/>
        <w:ind w:left="-360"/>
        <w:jc w:val="both"/>
        <w:rPr>
          <w:lang w:val="fr"/>
        </w:rPr>
      </w:pPr>
      <w:r>
        <w:rPr>
          <w:rFonts w:eastAsia="DengXian"/>
          <w:kern w:val="2"/>
          <w:lang w:val="fr" w:eastAsia="zh-CN" w:bidi="ar"/>
        </w:rPr>
        <w:t>L’inclusion des femmes est reconnue comme un facteur déterminant pour la durabilité des processus de paix, car elle favorise des solutions plus équitables et inclusives.</w:t>
      </w:r>
    </w:p>
    <w:p w14:paraId="406EE9BD" w14:textId="77777777" w:rsidR="001B58C7" w:rsidRDefault="000F0E0E">
      <w:pPr>
        <w:spacing w:after="160" w:line="276" w:lineRule="auto"/>
        <w:ind w:left="-360"/>
        <w:jc w:val="both"/>
        <w:rPr>
          <w:b/>
          <w:bCs/>
          <w:lang w:val="fr"/>
        </w:rPr>
      </w:pPr>
      <w:r>
        <w:rPr>
          <w:rFonts w:eastAsia="DengXian"/>
          <w:b/>
          <w:bCs/>
          <w:kern w:val="2"/>
          <w:lang w:val="fr" w:eastAsia="zh-CN" w:bidi="ar"/>
        </w:rPr>
        <w:t>7. Effet dissuasif et prévention des conflits futurs</w:t>
      </w:r>
    </w:p>
    <w:p w14:paraId="7A09D6BE" w14:textId="77777777" w:rsidR="001B58C7" w:rsidRDefault="000F0E0E">
      <w:pPr>
        <w:spacing w:after="160" w:line="276" w:lineRule="auto"/>
        <w:ind w:left="-360"/>
        <w:jc w:val="both"/>
        <w:rPr>
          <w:lang w:val="fr"/>
        </w:rPr>
      </w:pPr>
      <w:r>
        <w:rPr>
          <w:rFonts w:eastAsia="DengXian"/>
          <w:kern w:val="2"/>
          <w:lang w:val="fr" w:eastAsia="zh-CN" w:bidi="ar"/>
        </w:rPr>
        <w:t>Enfin, la condamnation des auteurs de crimes et la visibilité des audiences publiques contribuent à instaurer un effet dissuasif au sein des communautés. En démontrant que les violations graves font l’objet de poursuites effectives, le projet participe à :</w:t>
      </w:r>
    </w:p>
    <w:p w14:paraId="6680241E" w14:textId="77777777" w:rsidR="001B58C7" w:rsidRDefault="000F0E0E">
      <w:pPr>
        <w:numPr>
          <w:ilvl w:val="0"/>
          <w:numId w:val="22"/>
        </w:numPr>
        <w:spacing w:after="160" w:line="276" w:lineRule="auto"/>
        <w:ind w:left="0"/>
        <w:jc w:val="both"/>
        <w:rPr>
          <w:rFonts w:eastAsia="DengXian"/>
          <w:kern w:val="2"/>
          <w:lang w:val="fr"/>
        </w:rPr>
      </w:pPr>
      <w:r>
        <w:rPr>
          <w:rFonts w:eastAsia="DengXian"/>
          <w:kern w:val="2"/>
          <w:lang w:val="fr"/>
        </w:rPr>
        <w:t>Prévenir la répétition des violences ;</w:t>
      </w:r>
    </w:p>
    <w:p w14:paraId="5CF67EB8" w14:textId="77777777" w:rsidR="001B58C7" w:rsidRDefault="000F0E0E">
      <w:pPr>
        <w:numPr>
          <w:ilvl w:val="0"/>
          <w:numId w:val="22"/>
        </w:numPr>
        <w:spacing w:after="160" w:line="276" w:lineRule="auto"/>
        <w:ind w:left="0"/>
        <w:jc w:val="both"/>
        <w:rPr>
          <w:rFonts w:eastAsia="DengXian"/>
          <w:kern w:val="2"/>
          <w:lang w:val="fr"/>
        </w:rPr>
      </w:pPr>
      <w:r>
        <w:rPr>
          <w:rFonts w:eastAsia="DengXian"/>
          <w:kern w:val="2"/>
          <w:lang w:val="fr"/>
        </w:rPr>
        <w:t>Renforcer le respect des normes juridiques ;</w:t>
      </w:r>
    </w:p>
    <w:p w14:paraId="7768414A" w14:textId="77777777" w:rsidR="001B58C7" w:rsidRDefault="000F0E0E">
      <w:pPr>
        <w:numPr>
          <w:ilvl w:val="0"/>
          <w:numId w:val="22"/>
        </w:numPr>
        <w:spacing w:after="160" w:line="276" w:lineRule="auto"/>
        <w:ind w:left="0"/>
        <w:jc w:val="both"/>
        <w:rPr>
          <w:rFonts w:eastAsia="DengXian"/>
          <w:kern w:val="2"/>
          <w:lang w:val="fr"/>
        </w:rPr>
      </w:pPr>
      <w:r>
        <w:rPr>
          <w:rFonts w:eastAsia="DengXian"/>
          <w:kern w:val="2"/>
          <w:lang w:val="fr"/>
        </w:rPr>
        <w:t>Instaurer une culture de responsabilité.</w:t>
      </w:r>
    </w:p>
    <w:p w14:paraId="759DBC06" w14:textId="77777777" w:rsidR="001B58C7" w:rsidRDefault="000F0E0E">
      <w:pPr>
        <w:spacing w:after="160" w:line="276" w:lineRule="auto"/>
        <w:ind w:left="-360"/>
        <w:jc w:val="both"/>
        <w:rPr>
          <w:b/>
          <w:bCs/>
          <w:lang w:val="fr"/>
        </w:rPr>
      </w:pPr>
      <w:r>
        <w:rPr>
          <w:rFonts w:eastAsia="DengXian"/>
          <w:b/>
          <w:bCs/>
          <w:kern w:val="2"/>
          <w:lang w:val="fr" w:eastAsia="zh-CN" w:bidi="ar"/>
        </w:rPr>
        <w:t>Conclusion</w:t>
      </w:r>
    </w:p>
    <w:p w14:paraId="3F433408" w14:textId="77777777" w:rsidR="001B58C7" w:rsidRDefault="000F0E0E">
      <w:pPr>
        <w:spacing w:after="160" w:line="276" w:lineRule="auto"/>
        <w:ind w:left="-360"/>
        <w:jc w:val="both"/>
        <w:rPr>
          <w:rFonts w:eastAsia="DengXian"/>
          <w:kern w:val="2"/>
          <w:lang w:val="fr" w:eastAsia="zh-CN" w:bidi="ar"/>
        </w:rPr>
      </w:pPr>
      <w:r>
        <w:rPr>
          <w:rFonts w:eastAsia="DengXian"/>
          <w:kern w:val="2"/>
          <w:lang w:val="fr" w:eastAsia="zh-CN" w:bidi="ar"/>
        </w:rPr>
        <w:t>Dans l’ensemble, les résultats obtenus illustrent une contribution tangible à la consolidation de la paix, à travers une combinaison d’actions judiciaires, d’inclusion des victimes, de renforcement institutionnel et de mobilisation communautaire. En facilitant l’accès à la justice, en luttant contre l’impunité et en favorisant la participation des populations, le projet contribue à jeter les bases d’une paix durable dans la province du Kasaï.</w:t>
      </w:r>
    </w:p>
    <w:p w14:paraId="102FE882" w14:textId="77777777" w:rsidR="001B58C7" w:rsidRDefault="001B58C7">
      <w:pPr>
        <w:spacing w:after="160" w:line="276" w:lineRule="auto"/>
        <w:ind w:left="-360"/>
        <w:jc w:val="both"/>
        <w:rPr>
          <w:rFonts w:eastAsia="DengXian"/>
          <w:kern w:val="2"/>
          <w:lang w:val="fr" w:eastAsia="zh-CN" w:bidi="ar"/>
        </w:rPr>
      </w:pPr>
    </w:p>
    <w:p w14:paraId="18F76F4A" w14:textId="77777777" w:rsidR="001B58C7" w:rsidRDefault="001B58C7">
      <w:pPr>
        <w:spacing w:after="160" w:line="276" w:lineRule="auto"/>
        <w:ind w:left="-360"/>
        <w:jc w:val="both"/>
        <w:rPr>
          <w:rFonts w:eastAsia="DengXian"/>
          <w:kern w:val="2"/>
          <w:lang w:val="fr" w:eastAsia="zh-CN" w:bidi="ar"/>
        </w:rPr>
      </w:pPr>
    </w:p>
    <w:p w14:paraId="677515DD" w14:textId="77777777" w:rsidR="001B58C7" w:rsidRDefault="000F0E0E">
      <w:pPr>
        <w:ind w:hanging="360"/>
        <w:rPr>
          <w:b/>
          <w:u w:val="single"/>
          <w:lang w:val="fr-FR"/>
        </w:rPr>
      </w:pPr>
      <w:r>
        <w:rPr>
          <w:b/>
          <w:u w:val="single"/>
          <w:lang w:val="fr-FR"/>
        </w:rPr>
        <w:t xml:space="preserve">PARTIE </w:t>
      </w:r>
      <w:proofErr w:type="gramStart"/>
      <w:r>
        <w:rPr>
          <w:b/>
          <w:u w:val="single"/>
          <w:lang w:val="fr-FR"/>
        </w:rPr>
        <w:t>II:</w:t>
      </w:r>
      <w:proofErr w:type="gramEnd"/>
      <w:r>
        <w:rPr>
          <w:b/>
          <w:u w:val="single"/>
          <w:lang w:val="fr-FR"/>
        </w:rPr>
        <w:t xml:space="preserve"> LE CADRE DE RÉSULTATS DU PROJET</w:t>
      </w:r>
    </w:p>
    <w:p w14:paraId="11D4B108" w14:textId="77777777" w:rsidR="001B58C7" w:rsidRDefault="000F0E0E">
      <w:pPr>
        <w:ind w:left="-360"/>
        <w:rPr>
          <w:rFonts w:eastAsia="Calibri"/>
          <w:b/>
          <w:bCs/>
          <w:lang w:val="fr-FR" w:eastAsia="zh-CN"/>
        </w:rPr>
      </w:pPr>
      <w:r>
        <w:rPr>
          <w:rFonts w:eastAsia="Calibri"/>
          <w:b/>
          <w:bCs/>
          <w:lang w:val="fr-FR" w:eastAsia="zh-CN"/>
        </w:rPr>
        <w:lastRenderedPageBreak/>
        <w:t xml:space="preserve">En utilisant le cadre de résultats du projet conformément au document de projet approuvé ou à toute modification, fournissez une mise à jour de la réalisation de tous les indicateurs   de résultats et de produits dans le tableau ci-dessous. </w:t>
      </w:r>
      <w:r>
        <w:rPr>
          <w:lang w:val="fr-FR"/>
        </w:rPr>
        <w:t>Veuillez ajouter des entrées supplémentaires au besoin, en fonction du nombre de résultats, produits et indicateurs dans le cadre de résultats du projet approuvé.</w:t>
      </w:r>
    </w:p>
    <w:p w14:paraId="2798290B" w14:textId="77777777" w:rsidR="001B58C7" w:rsidRDefault="001B58C7">
      <w:pPr>
        <w:ind w:left="-360"/>
        <w:rPr>
          <w:rFonts w:eastAsia="Calibri"/>
          <w:b/>
          <w:bCs/>
          <w:lang w:val="fr-FR" w:eastAsia="zh-CN"/>
        </w:rPr>
      </w:pPr>
    </w:p>
    <w:p w14:paraId="136B5A20" w14:textId="77777777" w:rsidR="001B58C7" w:rsidRDefault="000F0E0E">
      <w:pPr>
        <w:pStyle w:val="Paragraphedeliste"/>
        <w:numPr>
          <w:ilvl w:val="0"/>
          <w:numId w:val="23"/>
        </w:numPr>
        <w:autoSpaceDE w:val="0"/>
        <w:autoSpaceDN w:val="0"/>
        <w:adjustRightInd w:val="0"/>
        <w:ind w:left="0"/>
        <w:rPr>
          <w:rFonts w:eastAsia="Calibri"/>
          <w:lang w:val="fr-FR" w:eastAsia="zh-CN"/>
        </w:rPr>
      </w:pPr>
      <w:r>
        <w:rPr>
          <w:rFonts w:eastAsia="Calibri"/>
          <w:lang w:val="fr-FR" w:eastAsia="zh-CN"/>
        </w:rPr>
        <w:t xml:space="preserve">S'il n'a pas été possible de collecter des données sur les indicateurs, indiquez-le par “N/A” et fournissez toute explication. </w:t>
      </w:r>
    </w:p>
    <w:p w14:paraId="186D29E9" w14:textId="77777777" w:rsidR="001B58C7" w:rsidRDefault="000F0E0E">
      <w:pPr>
        <w:pStyle w:val="Paragraphedeliste"/>
        <w:numPr>
          <w:ilvl w:val="0"/>
          <w:numId w:val="23"/>
        </w:numPr>
        <w:autoSpaceDE w:val="0"/>
        <w:autoSpaceDN w:val="0"/>
        <w:adjustRightInd w:val="0"/>
        <w:ind w:left="0"/>
        <w:rPr>
          <w:rFonts w:eastAsia="Calibri"/>
          <w:lang w:val="fr-FR" w:eastAsia="zh-CN"/>
        </w:rPr>
      </w:pPr>
      <w:r>
        <w:rPr>
          <w:rFonts w:eastAsia="Calibri"/>
          <w:lang w:val="fr-FR" w:eastAsia="zh-CN"/>
        </w:rPr>
        <w:t>Fournissez des données ventilées par sexe et par âge. (500 caractères maximum par entrée)</w:t>
      </w:r>
    </w:p>
    <w:p w14:paraId="2EED9089" w14:textId="77777777" w:rsidR="001B58C7" w:rsidRDefault="001B58C7">
      <w:pPr>
        <w:ind w:hanging="360"/>
        <w:rPr>
          <w:b/>
          <w:u w:val="single"/>
          <w:lang w:val="fr-FR"/>
        </w:rPr>
      </w:pPr>
    </w:p>
    <w:p w14:paraId="6ACE96C8" w14:textId="77777777" w:rsidR="001B58C7" w:rsidRDefault="000F0E0E">
      <w:pPr>
        <w:ind w:hanging="360"/>
        <w:jc w:val="both"/>
        <w:rPr>
          <w:b/>
          <w:lang w:val="fr-FR"/>
        </w:rPr>
      </w:pPr>
      <w:r>
        <w:rPr>
          <w:b/>
          <w:u w:val="single"/>
          <w:lang w:val="fr-FR"/>
        </w:rPr>
        <w:t>Résultat 1 :</w:t>
      </w:r>
      <w:r>
        <w:rPr>
          <w:b/>
          <w:lang w:val="fr-FR"/>
        </w:rPr>
        <w:t xml:space="preserve">  Les mécanismes de justice sont rendus opérationnels dans le respect d’une approche participative et centrée sur les besoins des victimes pour promouvoir la paix et la cohésion sociale.</w:t>
      </w:r>
    </w:p>
    <w:p w14:paraId="127B6DA5" w14:textId="77777777" w:rsidR="001B58C7" w:rsidRDefault="001B58C7">
      <w:pPr>
        <w:rPr>
          <w:b/>
          <w:lang w:val="fr-FR"/>
        </w:rPr>
      </w:pPr>
    </w:p>
    <w:tbl>
      <w:tblPr>
        <w:tblW w:w="10440" w:type="dxa"/>
        <w:tblInd w:w="-7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060"/>
        <w:gridCol w:w="810"/>
        <w:gridCol w:w="1170"/>
        <w:gridCol w:w="1350"/>
        <w:gridCol w:w="1170"/>
        <w:gridCol w:w="2880"/>
      </w:tblGrid>
      <w:tr w:rsidR="001B58C7" w:rsidRPr="00ED3A8A" w14:paraId="4EF23EAD" w14:textId="77777777">
        <w:trPr>
          <w:trHeight w:val="300"/>
          <w:tblHeader/>
        </w:trPr>
        <w:tc>
          <w:tcPr>
            <w:tcW w:w="3060" w:type="dxa"/>
            <w:shd w:val="clear" w:color="auto" w:fill="EEECE1"/>
          </w:tcPr>
          <w:p w14:paraId="242A1781" w14:textId="77777777" w:rsidR="001B58C7" w:rsidRDefault="000F0E0E">
            <w:pPr>
              <w:spacing w:after="160" w:line="276" w:lineRule="auto"/>
              <w:rPr>
                <w:b/>
                <w:kern w:val="2"/>
                <w:sz w:val="22"/>
                <w:szCs w:val="22"/>
                <w:lang w:val="fr-FR" w:eastAsia="en-US"/>
              </w:rPr>
            </w:pPr>
            <w:bookmarkStart w:id="1" w:name="_Hlk230753692"/>
            <w:r>
              <w:rPr>
                <w:b/>
                <w:kern w:val="2"/>
                <w:sz w:val="22"/>
                <w:szCs w:val="22"/>
                <w:lang w:val="fr-FR" w:eastAsia="en-US"/>
              </w:rPr>
              <w:t>Indicateurs de résultat</w:t>
            </w:r>
          </w:p>
        </w:tc>
        <w:tc>
          <w:tcPr>
            <w:tcW w:w="810" w:type="dxa"/>
            <w:shd w:val="clear" w:color="auto" w:fill="EEECE1"/>
          </w:tcPr>
          <w:p w14:paraId="7DD46B0E" w14:textId="77777777" w:rsidR="001B58C7" w:rsidRDefault="000F0E0E">
            <w:pPr>
              <w:spacing w:after="160" w:line="276" w:lineRule="auto"/>
              <w:rPr>
                <w:b/>
                <w:kern w:val="2"/>
                <w:sz w:val="22"/>
                <w:szCs w:val="22"/>
                <w:lang w:val="fr-FR"/>
              </w:rPr>
            </w:pPr>
            <w:r>
              <w:rPr>
                <w:b/>
                <w:kern w:val="2"/>
                <w:sz w:val="22"/>
                <w:szCs w:val="22"/>
                <w:lang w:val="fr-FR"/>
              </w:rPr>
              <w:t>Indicateur de base</w:t>
            </w:r>
          </w:p>
          <w:p w14:paraId="591BE4F5" w14:textId="77777777" w:rsidR="001B58C7" w:rsidRDefault="001B58C7">
            <w:pPr>
              <w:spacing w:after="160" w:line="276" w:lineRule="auto"/>
              <w:rPr>
                <w:b/>
                <w:kern w:val="2"/>
                <w:sz w:val="22"/>
                <w:szCs w:val="22"/>
                <w:lang w:val="fr-FR" w:eastAsia="en-US"/>
              </w:rPr>
            </w:pPr>
          </w:p>
        </w:tc>
        <w:tc>
          <w:tcPr>
            <w:tcW w:w="1170" w:type="dxa"/>
            <w:shd w:val="clear" w:color="auto" w:fill="EEECE1"/>
          </w:tcPr>
          <w:p w14:paraId="1E2B61FF" w14:textId="77777777" w:rsidR="001B58C7" w:rsidRDefault="000F0E0E">
            <w:pPr>
              <w:spacing w:after="160" w:line="276" w:lineRule="auto"/>
              <w:rPr>
                <w:b/>
                <w:kern w:val="2"/>
                <w:sz w:val="22"/>
                <w:szCs w:val="22"/>
                <w:lang w:val="fr-FR" w:eastAsia="en-US"/>
              </w:rPr>
            </w:pPr>
            <w:r>
              <w:rPr>
                <w:b/>
                <w:kern w:val="2"/>
                <w:sz w:val="22"/>
                <w:szCs w:val="22"/>
                <w:lang w:val="fr-FR" w:eastAsia="en-US"/>
              </w:rPr>
              <w:t>Cible de fin de projet</w:t>
            </w:r>
          </w:p>
        </w:tc>
        <w:tc>
          <w:tcPr>
            <w:tcW w:w="1350" w:type="dxa"/>
          </w:tcPr>
          <w:p w14:paraId="015B490F" w14:textId="77777777" w:rsidR="001B58C7" w:rsidRDefault="000F0E0E">
            <w:pPr>
              <w:spacing w:after="160" w:line="276" w:lineRule="auto"/>
              <w:rPr>
                <w:b/>
                <w:bCs/>
                <w:kern w:val="2"/>
                <w:sz w:val="22"/>
                <w:szCs w:val="22"/>
                <w:lang w:val="fr-FR" w:eastAsia="en-US"/>
              </w:rPr>
            </w:pPr>
            <w:r>
              <w:rPr>
                <w:b/>
                <w:bCs/>
                <w:kern w:val="2"/>
                <w:sz w:val="22"/>
                <w:szCs w:val="22"/>
                <w:lang w:val="fr-FR" w:eastAsia="en-US"/>
              </w:rPr>
              <w:t>Progrès de l’indicateur pour la période de référence</w:t>
            </w:r>
          </w:p>
          <w:p w14:paraId="260E7AA0" w14:textId="77777777" w:rsidR="001B58C7" w:rsidRDefault="001B58C7">
            <w:pPr>
              <w:spacing w:after="160" w:line="276" w:lineRule="auto"/>
              <w:rPr>
                <w:b/>
                <w:bCs/>
                <w:kern w:val="2"/>
                <w:sz w:val="22"/>
                <w:szCs w:val="22"/>
                <w:lang w:val="fr-FR" w:eastAsia="en-US"/>
              </w:rPr>
            </w:pPr>
          </w:p>
        </w:tc>
        <w:tc>
          <w:tcPr>
            <w:tcW w:w="1170" w:type="dxa"/>
          </w:tcPr>
          <w:p w14:paraId="14830C1E" w14:textId="77777777" w:rsidR="001B58C7" w:rsidRDefault="000F0E0E">
            <w:pPr>
              <w:spacing w:after="160" w:line="276" w:lineRule="auto"/>
              <w:rPr>
                <w:b/>
                <w:bCs/>
                <w:kern w:val="2"/>
                <w:sz w:val="22"/>
                <w:szCs w:val="22"/>
                <w:lang w:val="fr-FR" w:eastAsia="en-US"/>
              </w:rPr>
            </w:pPr>
            <w:r>
              <w:rPr>
                <w:b/>
                <w:bCs/>
                <w:kern w:val="2"/>
                <w:sz w:val="22"/>
                <w:szCs w:val="22"/>
                <w:lang w:val="fr-FR" w:eastAsia="en-US"/>
              </w:rPr>
              <w:t>Progrès de l’indicateur depuis le début du projet</w:t>
            </w:r>
          </w:p>
        </w:tc>
        <w:tc>
          <w:tcPr>
            <w:tcW w:w="2880" w:type="dxa"/>
          </w:tcPr>
          <w:p w14:paraId="02749E86" w14:textId="77777777" w:rsidR="001B58C7" w:rsidRDefault="000F0E0E">
            <w:pPr>
              <w:spacing w:after="160" w:line="276" w:lineRule="auto"/>
              <w:rPr>
                <w:b/>
                <w:kern w:val="2"/>
                <w:sz w:val="22"/>
                <w:szCs w:val="22"/>
                <w:lang w:val="fr-FR" w:eastAsia="en-US"/>
              </w:rPr>
            </w:pPr>
            <w:r>
              <w:rPr>
                <w:b/>
                <w:kern w:val="2"/>
                <w:sz w:val="22"/>
                <w:szCs w:val="22"/>
                <w:lang w:val="fr-FR" w:eastAsia="en-US"/>
              </w:rPr>
              <w:t>Raisons pour les retards ou changements (s'il y en a)</w:t>
            </w:r>
          </w:p>
        </w:tc>
      </w:tr>
      <w:bookmarkEnd w:id="1"/>
      <w:tr w:rsidR="001B58C7" w:rsidRPr="00ED3A8A" w14:paraId="4897A5D6" w14:textId="77777777">
        <w:trPr>
          <w:trHeight w:val="300"/>
        </w:trPr>
        <w:tc>
          <w:tcPr>
            <w:tcW w:w="3060" w:type="dxa"/>
            <w:shd w:val="clear" w:color="auto" w:fill="EEECE1"/>
          </w:tcPr>
          <w:p w14:paraId="3E5B59B1" w14:textId="77777777" w:rsidR="001B58C7" w:rsidRDefault="000F0E0E">
            <w:pPr>
              <w:spacing w:after="160" w:line="276" w:lineRule="auto"/>
              <w:rPr>
                <w:b/>
                <w:kern w:val="2"/>
                <w:sz w:val="22"/>
                <w:szCs w:val="22"/>
                <w:lang w:val="fr-FR" w:eastAsia="en-US"/>
              </w:rPr>
            </w:pPr>
            <w:r>
              <w:rPr>
                <w:b/>
                <w:kern w:val="2"/>
                <w:sz w:val="22"/>
                <w:szCs w:val="22"/>
                <w:lang w:val="fr-FR" w:eastAsia="en-US"/>
              </w:rPr>
              <w:t>Indicateur 1.1</w:t>
            </w:r>
          </w:p>
          <w:p w14:paraId="518C9E23" w14:textId="77777777" w:rsidR="001B58C7" w:rsidRPr="006B740B" w:rsidRDefault="000F0E0E">
            <w:pPr>
              <w:spacing w:after="160" w:line="276" w:lineRule="auto"/>
              <w:rPr>
                <w:kern w:val="2"/>
                <w:sz w:val="22"/>
                <w:szCs w:val="22"/>
                <w:lang w:val="fr-FR" w:eastAsia="en-US"/>
              </w:rPr>
            </w:pPr>
            <w:r w:rsidRPr="006B740B">
              <w:rPr>
                <w:rFonts w:eastAsia="SimSun"/>
                <w:kern w:val="2"/>
                <w:sz w:val="22"/>
                <w:szCs w:val="22"/>
                <w:lang w:val="fr-FR" w:eastAsia="en-US"/>
              </w:rPr>
              <w:t>Nombre de victimes et témoins ayant collaboré avec la CPVJR dans le cadre de son mandat de recherche de la vérité, de la justice et de la réconciliation.</w:t>
            </w:r>
          </w:p>
        </w:tc>
        <w:tc>
          <w:tcPr>
            <w:tcW w:w="810" w:type="dxa"/>
            <w:shd w:val="clear" w:color="auto" w:fill="EEECE1"/>
          </w:tcPr>
          <w:p w14:paraId="1A9B7F75" w14:textId="77777777" w:rsidR="001B58C7" w:rsidRDefault="000F0E0E">
            <w:pPr>
              <w:spacing w:after="160" w:line="276" w:lineRule="auto"/>
              <w:rPr>
                <w:kern w:val="2"/>
                <w:sz w:val="22"/>
                <w:szCs w:val="22"/>
                <w:lang w:val="fr-FR" w:eastAsia="en-US"/>
              </w:rPr>
            </w:pPr>
            <w:r>
              <w:rPr>
                <w:b/>
                <w:kern w:val="2"/>
                <w:sz w:val="22"/>
                <w:szCs w:val="22"/>
                <w:lang w:val="fr-FR" w:eastAsia="en-US"/>
              </w:rPr>
              <w:t>00</w:t>
            </w:r>
          </w:p>
        </w:tc>
        <w:tc>
          <w:tcPr>
            <w:tcW w:w="1170" w:type="dxa"/>
            <w:shd w:val="clear" w:color="auto" w:fill="EEECE1"/>
          </w:tcPr>
          <w:p w14:paraId="5A755DB4" w14:textId="77777777" w:rsidR="001B58C7" w:rsidRDefault="000F0E0E">
            <w:pPr>
              <w:spacing w:after="160" w:line="276" w:lineRule="auto"/>
              <w:rPr>
                <w:kern w:val="2"/>
                <w:sz w:val="22"/>
                <w:szCs w:val="22"/>
                <w:lang w:val="fr-FR"/>
              </w:rPr>
            </w:pPr>
            <w:r>
              <w:rPr>
                <w:b/>
                <w:kern w:val="2"/>
                <w:sz w:val="22"/>
                <w:szCs w:val="22"/>
                <w:lang w:val="fr-FR" w:eastAsia="en-US"/>
              </w:rPr>
              <w:t xml:space="preserve">200 </w:t>
            </w:r>
            <w:r>
              <w:rPr>
                <w:kern w:val="2"/>
                <w:sz w:val="22"/>
                <w:szCs w:val="22"/>
                <w:lang w:val="fr-FR" w:eastAsia="en-US"/>
              </w:rPr>
              <w:t>(100 Hommes et 100 Femmes)</w:t>
            </w:r>
          </w:p>
        </w:tc>
        <w:tc>
          <w:tcPr>
            <w:tcW w:w="1350" w:type="dxa"/>
          </w:tcPr>
          <w:p w14:paraId="6398B70D" w14:textId="77777777" w:rsidR="001B58C7" w:rsidRDefault="000F0E0E">
            <w:pPr>
              <w:spacing w:after="160" w:line="276" w:lineRule="auto"/>
              <w:rPr>
                <w:kern w:val="2"/>
                <w:sz w:val="22"/>
                <w:szCs w:val="22"/>
                <w:lang w:val="fr-FR"/>
              </w:rPr>
            </w:pPr>
            <w:proofErr w:type="gramStart"/>
            <w:r>
              <w:rPr>
                <w:kern w:val="2"/>
                <w:sz w:val="22"/>
                <w:szCs w:val="22"/>
                <w:lang w:val="fr-FR"/>
              </w:rPr>
              <w:t>n</w:t>
            </w:r>
            <w:proofErr w:type="gramEnd"/>
            <w:r>
              <w:rPr>
                <w:kern w:val="2"/>
                <w:sz w:val="22"/>
                <w:szCs w:val="22"/>
                <w:lang w:val="fr-FR"/>
              </w:rPr>
              <w:t>/a</w:t>
            </w:r>
          </w:p>
        </w:tc>
        <w:tc>
          <w:tcPr>
            <w:tcW w:w="1170" w:type="dxa"/>
          </w:tcPr>
          <w:p w14:paraId="74B366CE" w14:textId="77777777" w:rsidR="001B58C7" w:rsidRDefault="000F0E0E">
            <w:pPr>
              <w:spacing w:after="160" w:line="276" w:lineRule="auto"/>
              <w:rPr>
                <w:b/>
                <w:kern w:val="2"/>
                <w:sz w:val="22"/>
                <w:szCs w:val="22"/>
                <w:lang w:val="fr-FR" w:eastAsia="en-US"/>
              </w:rPr>
            </w:pPr>
            <w:proofErr w:type="gramStart"/>
            <w:r>
              <w:rPr>
                <w:b/>
                <w:kern w:val="2"/>
                <w:sz w:val="22"/>
                <w:szCs w:val="22"/>
                <w:lang w:val="fr-FR" w:eastAsia="en-US"/>
              </w:rPr>
              <w:t>n</w:t>
            </w:r>
            <w:proofErr w:type="gramEnd"/>
            <w:r>
              <w:rPr>
                <w:b/>
                <w:kern w:val="2"/>
                <w:sz w:val="22"/>
                <w:szCs w:val="22"/>
                <w:lang w:val="fr-FR" w:eastAsia="en-US"/>
              </w:rPr>
              <w:t>/a</w:t>
            </w:r>
          </w:p>
        </w:tc>
        <w:tc>
          <w:tcPr>
            <w:tcW w:w="2880" w:type="dxa"/>
          </w:tcPr>
          <w:p w14:paraId="217BDB0F" w14:textId="77777777" w:rsidR="001B58C7" w:rsidRDefault="000F0E0E">
            <w:pPr>
              <w:spacing w:after="160" w:line="276" w:lineRule="auto"/>
              <w:rPr>
                <w:rFonts w:eastAsia="TimesNewRomanPS-BoldMT"/>
                <w:bCs/>
                <w:color w:val="0000FF"/>
                <w:kern w:val="2"/>
                <w:sz w:val="22"/>
                <w:szCs w:val="22"/>
                <w:lang w:val="fr-FR"/>
              </w:rPr>
            </w:pPr>
            <w:r>
              <w:rPr>
                <w:rFonts w:eastAsia="TimesNewRomanPS-BoldMT"/>
                <w:bCs/>
                <w:color w:val="0000FF"/>
                <w:kern w:val="2"/>
                <w:sz w:val="22"/>
                <w:szCs w:val="22"/>
                <w:lang w:val="fr-FR"/>
              </w:rPr>
              <w:t>Préparatifs en cours et mobilisation des ressources financières - logistiques.</w:t>
            </w:r>
          </w:p>
          <w:p w14:paraId="278F896B" w14:textId="77777777" w:rsidR="001B58C7" w:rsidRPr="006B740B" w:rsidRDefault="001B58C7">
            <w:pPr>
              <w:spacing w:after="160" w:line="276" w:lineRule="auto"/>
              <w:rPr>
                <w:rFonts w:eastAsia="TimesNewRomanPS-BoldMT"/>
                <w:bCs/>
                <w:kern w:val="2"/>
                <w:sz w:val="22"/>
                <w:szCs w:val="22"/>
                <w:lang w:val="fr-FR"/>
              </w:rPr>
            </w:pPr>
          </w:p>
        </w:tc>
      </w:tr>
      <w:tr w:rsidR="001B58C7" w14:paraId="2E9A50A9" w14:textId="77777777">
        <w:trPr>
          <w:trHeight w:val="300"/>
        </w:trPr>
        <w:tc>
          <w:tcPr>
            <w:tcW w:w="3060" w:type="dxa"/>
            <w:shd w:val="clear" w:color="auto" w:fill="EEECE1"/>
          </w:tcPr>
          <w:p w14:paraId="7CC1E605" w14:textId="77777777" w:rsidR="001B58C7" w:rsidRDefault="000F0E0E">
            <w:pPr>
              <w:spacing w:after="160" w:line="276" w:lineRule="auto"/>
              <w:rPr>
                <w:b/>
                <w:kern w:val="2"/>
                <w:sz w:val="22"/>
                <w:szCs w:val="22"/>
                <w:lang w:val="fr-FR" w:eastAsia="en-US"/>
              </w:rPr>
            </w:pPr>
            <w:r>
              <w:rPr>
                <w:b/>
                <w:kern w:val="2"/>
                <w:sz w:val="22"/>
                <w:szCs w:val="22"/>
                <w:lang w:val="fr-FR" w:eastAsia="en-US"/>
              </w:rPr>
              <w:t>Indicateur 1.2</w:t>
            </w:r>
          </w:p>
          <w:p w14:paraId="35A24182" w14:textId="77777777" w:rsidR="001B58C7" w:rsidRPr="006B740B" w:rsidRDefault="000F0E0E">
            <w:pPr>
              <w:spacing w:after="160" w:line="276" w:lineRule="auto"/>
              <w:rPr>
                <w:kern w:val="2"/>
                <w:sz w:val="22"/>
                <w:szCs w:val="22"/>
                <w:lang w:val="fr-FR" w:eastAsia="en-US"/>
              </w:rPr>
            </w:pPr>
            <w:r w:rsidRPr="006B740B">
              <w:rPr>
                <w:rFonts w:eastAsia="SimSun"/>
                <w:kern w:val="2"/>
                <w:sz w:val="22"/>
                <w:szCs w:val="22"/>
                <w:lang w:val="fr-FR" w:eastAsia="en-US"/>
              </w:rPr>
              <w:t xml:space="preserve">Nombre de réformes législatives et/ou administratives clés mises en œuvre par les autorités </w:t>
            </w:r>
            <w:r>
              <w:rPr>
                <w:rFonts w:eastAsia="SimSun"/>
                <w:kern w:val="2"/>
                <w:sz w:val="22"/>
                <w:szCs w:val="22"/>
                <w:lang w:val="fr-CA" w:eastAsia="en-US"/>
              </w:rPr>
              <w:t>p</w:t>
            </w:r>
            <w:proofErr w:type="spellStart"/>
            <w:r w:rsidRPr="006B740B">
              <w:rPr>
                <w:rFonts w:eastAsia="SimSun"/>
                <w:kern w:val="2"/>
                <w:sz w:val="22"/>
                <w:szCs w:val="22"/>
                <w:lang w:val="fr-FR" w:eastAsia="en-US"/>
              </w:rPr>
              <w:t>rovinciales</w:t>
            </w:r>
            <w:proofErr w:type="spellEnd"/>
            <w:r w:rsidRPr="006B740B">
              <w:rPr>
                <w:rFonts w:eastAsia="SimSun"/>
                <w:kern w:val="2"/>
                <w:sz w:val="22"/>
                <w:szCs w:val="22"/>
                <w:lang w:val="fr-FR" w:eastAsia="en-US"/>
              </w:rPr>
              <w:t xml:space="preserve"> et nationales pour mettre en œuvre un processus de justice transitionnelle au Kasaï</w:t>
            </w:r>
          </w:p>
        </w:tc>
        <w:tc>
          <w:tcPr>
            <w:tcW w:w="810" w:type="dxa"/>
            <w:shd w:val="clear" w:color="auto" w:fill="EEECE1"/>
          </w:tcPr>
          <w:p w14:paraId="2CB7DD16" w14:textId="77777777" w:rsidR="001B58C7" w:rsidRDefault="000F0E0E">
            <w:pPr>
              <w:spacing w:after="160" w:line="276" w:lineRule="auto"/>
              <w:rPr>
                <w:kern w:val="2"/>
                <w:sz w:val="22"/>
                <w:szCs w:val="22"/>
                <w:lang w:val="fr-FR"/>
              </w:rPr>
            </w:pPr>
            <w:r>
              <w:rPr>
                <w:b/>
                <w:kern w:val="2"/>
                <w:sz w:val="22"/>
                <w:szCs w:val="22"/>
                <w:lang w:val="fr-FR" w:eastAsia="en-US"/>
              </w:rPr>
              <w:t>00</w:t>
            </w:r>
          </w:p>
        </w:tc>
        <w:tc>
          <w:tcPr>
            <w:tcW w:w="1170" w:type="dxa"/>
            <w:shd w:val="clear" w:color="auto" w:fill="EEECE1"/>
          </w:tcPr>
          <w:p w14:paraId="24A96C10" w14:textId="77777777" w:rsidR="001B58C7" w:rsidRDefault="000F0E0E">
            <w:pPr>
              <w:spacing w:after="160" w:line="276" w:lineRule="auto"/>
              <w:rPr>
                <w:kern w:val="2"/>
                <w:sz w:val="22"/>
                <w:szCs w:val="22"/>
                <w:lang w:val="fr-FR"/>
              </w:rPr>
            </w:pPr>
            <w:r>
              <w:rPr>
                <w:b/>
                <w:kern w:val="2"/>
                <w:sz w:val="22"/>
                <w:szCs w:val="22"/>
                <w:lang w:val="fr-FR" w:eastAsia="en-US"/>
              </w:rPr>
              <w:t>01</w:t>
            </w:r>
          </w:p>
        </w:tc>
        <w:tc>
          <w:tcPr>
            <w:tcW w:w="1350" w:type="dxa"/>
          </w:tcPr>
          <w:p w14:paraId="12A357D7" w14:textId="77777777" w:rsidR="001B58C7" w:rsidRDefault="000F0E0E">
            <w:pPr>
              <w:spacing w:after="160" w:line="276" w:lineRule="auto"/>
              <w:rPr>
                <w:b/>
                <w:kern w:val="2"/>
                <w:sz w:val="22"/>
                <w:szCs w:val="22"/>
                <w:lang w:val="fr-FR" w:eastAsia="en-US"/>
              </w:rPr>
            </w:pPr>
            <w:proofErr w:type="gramStart"/>
            <w:r>
              <w:rPr>
                <w:b/>
                <w:kern w:val="2"/>
                <w:sz w:val="22"/>
                <w:szCs w:val="22"/>
                <w:lang w:val="fr-FR" w:eastAsia="en-US"/>
              </w:rPr>
              <w:t>n</w:t>
            </w:r>
            <w:proofErr w:type="gramEnd"/>
            <w:r>
              <w:rPr>
                <w:b/>
                <w:kern w:val="2"/>
                <w:sz w:val="22"/>
                <w:szCs w:val="22"/>
                <w:lang w:val="fr-FR" w:eastAsia="en-US"/>
              </w:rPr>
              <w:t>/a</w:t>
            </w:r>
          </w:p>
        </w:tc>
        <w:tc>
          <w:tcPr>
            <w:tcW w:w="1170" w:type="dxa"/>
          </w:tcPr>
          <w:p w14:paraId="1F6D8529" w14:textId="77777777" w:rsidR="001B58C7" w:rsidRDefault="000F0E0E">
            <w:pPr>
              <w:spacing w:after="160" w:line="276" w:lineRule="auto"/>
              <w:rPr>
                <w:b/>
                <w:kern w:val="2"/>
                <w:sz w:val="22"/>
                <w:szCs w:val="22"/>
                <w:lang w:val="fr-FR" w:eastAsia="en-US"/>
              </w:rPr>
            </w:pPr>
            <w:proofErr w:type="gramStart"/>
            <w:r>
              <w:rPr>
                <w:b/>
                <w:kern w:val="2"/>
                <w:sz w:val="22"/>
                <w:szCs w:val="22"/>
                <w:lang w:val="fr-FR" w:eastAsia="en-US"/>
              </w:rPr>
              <w:t>n</w:t>
            </w:r>
            <w:proofErr w:type="gramEnd"/>
            <w:r>
              <w:rPr>
                <w:b/>
                <w:kern w:val="2"/>
                <w:sz w:val="22"/>
                <w:szCs w:val="22"/>
                <w:lang w:val="fr-FR" w:eastAsia="en-US"/>
              </w:rPr>
              <w:t>/a</w:t>
            </w:r>
          </w:p>
        </w:tc>
        <w:tc>
          <w:tcPr>
            <w:tcW w:w="2880" w:type="dxa"/>
          </w:tcPr>
          <w:p w14:paraId="479A3642" w14:textId="77777777" w:rsidR="001B58C7" w:rsidRDefault="000F0E0E">
            <w:pPr>
              <w:spacing w:after="160" w:line="276" w:lineRule="auto"/>
              <w:rPr>
                <w:bCs/>
                <w:kern w:val="2"/>
                <w:sz w:val="22"/>
                <w:szCs w:val="22"/>
                <w:lang w:val="zh-CN" w:eastAsia="en-US"/>
              </w:rPr>
            </w:pPr>
            <w:r>
              <w:rPr>
                <w:bCs/>
                <w:kern w:val="2"/>
                <w:sz w:val="22"/>
                <w:szCs w:val="22"/>
                <w:lang w:val="zh-CN" w:eastAsia="en-US"/>
              </w:rPr>
              <w:t xml:space="preserve">Activités pas encore lancées </w:t>
            </w:r>
          </w:p>
          <w:p w14:paraId="02205CF2" w14:textId="77777777" w:rsidR="001B58C7" w:rsidRDefault="001B58C7">
            <w:pPr>
              <w:spacing w:after="160" w:line="276" w:lineRule="auto"/>
              <w:rPr>
                <w:bCs/>
                <w:kern w:val="2"/>
                <w:sz w:val="22"/>
                <w:szCs w:val="22"/>
                <w:lang w:val="fr-FR" w:eastAsia="en-US"/>
              </w:rPr>
            </w:pPr>
          </w:p>
        </w:tc>
      </w:tr>
      <w:tr w:rsidR="001B58C7" w:rsidRPr="00ED3A8A" w14:paraId="24206D5B" w14:textId="77777777">
        <w:trPr>
          <w:trHeight w:val="300"/>
        </w:trPr>
        <w:tc>
          <w:tcPr>
            <w:tcW w:w="3060" w:type="dxa"/>
            <w:shd w:val="clear" w:color="auto" w:fill="EEECE1"/>
          </w:tcPr>
          <w:p w14:paraId="71152555" w14:textId="77777777" w:rsidR="001B58C7" w:rsidRDefault="000F0E0E">
            <w:pPr>
              <w:spacing w:after="160" w:line="276" w:lineRule="auto"/>
              <w:rPr>
                <w:b/>
                <w:kern w:val="2"/>
                <w:sz w:val="22"/>
                <w:szCs w:val="22"/>
                <w:lang w:val="fr-FR" w:eastAsia="en-US"/>
              </w:rPr>
            </w:pPr>
            <w:r>
              <w:rPr>
                <w:b/>
                <w:kern w:val="2"/>
                <w:sz w:val="22"/>
                <w:szCs w:val="22"/>
                <w:lang w:val="fr-FR" w:eastAsia="en-US"/>
              </w:rPr>
              <w:t>Indicateur 1.3</w:t>
            </w:r>
          </w:p>
          <w:p w14:paraId="534618BA" w14:textId="77777777" w:rsidR="001B58C7" w:rsidRPr="006B740B" w:rsidRDefault="000F0E0E">
            <w:pPr>
              <w:spacing w:after="160" w:line="276" w:lineRule="auto"/>
              <w:rPr>
                <w:bCs/>
                <w:kern w:val="2"/>
                <w:sz w:val="22"/>
                <w:szCs w:val="22"/>
                <w:lang w:val="fr-FR" w:eastAsia="en-US"/>
              </w:rPr>
            </w:pPr>
            <w:r w:rsidRPr="006B740B">
              <w:rPr>
                <w:bCs/>
                <w:kern w:val="2"/>
                <w:sz w:val="22"/>
                <w:szCs w:val="22"/>
                <w:lang w:val="fr-FR" w:eastAsia="en-US"/>
              </w:rPr>
              <w:t>Baisse du nombre de violations graves des droits de l’homme et du droit international humanitaire vérifiés dans le Kasaï et le Kasaï Central</w:t>
            </w:r>
          </w:p>
        </w:tc>
        <w:tc>
          <w:tcPr>
            <w:tcW w:w="810" w:type="dxa"/>
            <w:shd w:val="clear" w:color="auto" w:fill="EEECE1"/>
          </w:tcPr>
          <w:p w14:paraId="432F724F" w14:textId="77777777" w:rsidR="001B58C7" w:rsidRDefault="000F0E0E">
            <w:pPr>
              <w:spacing w:after="160" w:line="276" w:lineRule="auto"/>
              <w:rPr>
                <w:kern w:val="2"/>
                <w:sz w:val="22"/>
                <w:szCs w:val="22"/>
                <w:lang w:val="fr-FR"/>
              </w:rPr>
            </w:pPr>
            <w:r>
              <w:rPr>
                <w:b/>
                <w:kern w:val="2"/>
                <w:sz w:val="22"/>
                <w:szCs w:val="22"/>
                <w:lang w:val="fr-FR" w:eastAsia="en-US"/>
              </w:rPr>
              <w:t>38</w:t>
            </w:r>
          </w:p>
        </w:tc>
        <w:tc>
          <w:tcPr>
            <w:tcW w:w="1170" w:type="dxa"/>
            <w:shd w:val="clear" w:color="auto" w:fill="EEECE1"/>
          </w:tcPr>
          <w:p w14:paraId="0E411945" w14:textId="77777777" w:rsidR="001B58C7" w:rsidRDefault="000F0E0E">
            <w:pPr>
              <w:spacing w:after="160" w:line="276" w:lineRule="auto"/>
              <w:rPr>
                <w:kern w:val="2"/>
                <w:sz w:val="22"/>
                <w:szCs w:val="22"/>
                <w:lang w:val="fr-FR"/>
              </w:rPr>
            </w:pPr>
            <w:r>
              <w:rPr>
                <w:b/>
                <w:kern w:val="2"/>
                <w:sz w:val="22"/>
                <w:szCs w:val="22"/>
                <w:lang w:val="fr-FR" w:eastAsia="en-US"/>
              </w:rPr>
              <w:t>30</w:t>
            </w:r>
          </w:p>
        </w:tc>
        <w:tc>
          <w:tcPr>
            <w:tcW w:w="1350" w:type="dxa"/>
          </w:tcPr>
          <w:p w14:paraId="72731400" w14:textId="77777777" w:rsidR="001B58C7" w:rsidRDefault="000F0E0E">
            <w:pPr>
              <w:spacing w:after="160" w:line="276" w:lineRule="auto"/>
              <w:rPr>
                <w:b/>
                <w:kern w:val="2"/>
                <w:sz w:val="22"/>
                <w:szCs w:val="22"/>
                <w:lang w:val="fr-FR" w:eastAsia="en-US"/>
              </w:rPr>
            </w:pPr>
            <w:proofErr w:type="gramStart"/>
            <w:r>
              <w:rPr>
                <w:b/>
                <w:kern w:val="2"/>
                <w:sz w:val="22"/>
                <w:szCs w:val="22"/>
                <w:lang w:val="fr-FR" w:eastAsia="en-US"/>
              </w:rPr>
              <w:t>n</w:t>
            </w:r>
            <w:proofErr w:type="gramEnd"/>
            <w:r>
              <w:rPr>
                <w:b/>
                <w:kern w:val="2"/>
                <w:sz w:val="22"/>
                <w:szCs w:val="22"/>
                <w:lang w:val="fr-FR" w:eastAsia="en-US"/>
              </w:rPr>
              <w:t>/a</w:t>
            </w:r>
          </w:p>
        </w:tc>
        <w:tc>
          <w:tcPr>
            <w:tcW w:w="1170" w:type="dxa"/>
          </w:tcPr>
          <w:p w14:paraId="43D33D16" w14:textId="77777777" w:rsidR="001B58C7" w:rsidRDefault="000F0E0E">
            <w:pPr>
              <w:spacing w:after="160" w:line="276" w:lineRule="auto"/>
              <w:rPr>
                <w:b/>
                <w:kern w:val="2"/>
                <w:sz w:val="22"/>
                <w:szCs w:val="22"/>
                <w:lang w:val="fr-FR" w:eastAsia="en-US"/>
              </w:rPr>
            </w:pPr>
            <w:proofErr w:type="gramStart"/>
            <w:r>
              <w:rPr>
                <w:b/>
                <w:kern w:val="2"/>
                <w:sz w:val="22"/>
                <w:szCs w:val="22"/>
                <w:lang w:val="fr-FR" w:eastAsia="en-US"/>
              </w:rPr>
              <w:t>n</w:t>
            </w:r>
            <w:proofErr w:type="gramEnd"/>
            <w:r>
              <w:rPr>
                <w:b/>
                <w:kern w:val="2"/>
                <w:sz w:val="22"/>
                <w:szCs w:val="22"/>
                <w:lang w:val="fr-FR" w:eastAsia="en-US"/>
              </w:rPr>
              <w:t>/a</w:t>
            </w:r>
          </w:p>
        </w:tc>
        <w:tc>
          <w:tcPr>
            <w:tcW w:w="2880" w:type="dxa"/>
          </w:tcPr>
          <w:p w14:paraId="19DB3CDA" w14:textId="77777777" w:rsidR="001B58C7" w:rsidRDefault="000F0E0E">
            <w:pPr>
              <w:spacing w:after="160" w:line="276" w:lineRule="auto"/>
              <w:rPr>
                <w:color w:val="0000FF"/>
                <w:kern w:val="2"/>
                <w:sz w:val="22"/>
                <w:szCs w:val="22"/>
                <w:lang w:val="fr-FR" w:eastAsia="en-US"/>
              </w:rPr>
            </w:pPr>
            <w:r>
              <w:rPr>
                <w:color w:val="0000FF"/>
                <w:kern w:val="2"/>
                <w:sz w:val="22"/>
                <w:szCs w:val="22"/>
                <w:lang w:val="fr-FR" w:eastAsia="en-US"/>
              </w:rPr>
              <w:t>Activités à relancer au Kasai &amp; Kasai Central.</w:t>
            </w:r>
          </w:p>
          <w:p w14:paraId="0ABA3218" w14:textId="77777777" w:rsidR="001B58C7" w:rsidRDefault="001B58C7">
            <w:pPr>
              <w:spacing w:after="160" w:line="276" w:lineRule="auto"/>
              <w:rPr>
                <w:b/>
                <w:kern w:val="2"/>
                <w:sz w:val="22"/>
                <w:szCs w:val="22"/>
                <w:lang w:val="fr-FR" w:eastAsia="en-US"/>
              </w:rPr>
            </w:pPr>
          </w:p>
        </w:tc>
      </w:tr>
    </w:tbl>
    <w:p w14:paraId="0B0FFD1A" w14:textId="77777777" w:rsidR="001B58C7" w:rsidRDefault="001B58C7">
      <w:pPr>
        <w:rPr>
          <w:b/>
          <w:lang w:val="fr-FR"/>
        </w:rPr>
      </w:pPr>
    </w:p>
    <w:p w14:paraId="7F6D7508" w14:textId="77777777" w:rsidR="001B58C7" w:rsidRDefault="000F0E0E">
      <w:pPr>
        <w:ind w:left="-360"/>
        <w:jc w:val="both"/>
        <w:rPr>
          <w:rFonts w:eastAsia="Constantia"/>
          <w:b/>
          <w:bCs/>
          <w:lang w:val="fr"/>
        </w:rPr>
      </w:pPr>
      <w:r>
        <w:rPr>
          <w:b/>
          <w:bCs/>
          <w:u w:val="single"/>
          <w:lang w:val="fr-FR"/>
        </w:rPr>
        <w:lastRenderedPageBreak/>
        <w:t xml:space="preserve">Produit </w:t>
      </w:r>
      <w:proofErr w:type="gramStart"/>
      <w:r>
        <w:rPr>
          <w:b/>
          <w:bCs/>
          <w:u w:val="single"/>
          <w:lang w:val="fr-FR"/>
        </w:rPr>
        <w:t>1.1 </w:t>
      </w:r>
      <w:r>
        <w:rPr>
          <w:rFonts w:eastAsia="Constantia"/>
          <w:b/>
          <w:bCs/>
          <w:lang w:val="fr"/>
        </w:rPr>
        <w:t xml:space="preserve"> La</w:t>
      </w:r>
      <w:proofErr w:type="gramEnd"/>
      <w:r>
        <w:rPr>
          <w:rFonts w:eastAsia="Constantia"/>
          <w:b/>
          <w:bCs/>
          <w:lang w:val="fr"/>
        </w:rPr>
        <w:t xml:space="preserve"> CPVJR est rendue pleinement opérationnelle au Kasaï Central par la mise en œuvre de son mandat à savoir la recherche de la vérité, de la justice et de la réconciliation des communautés en conflit.    </w:t>
      </w:r>
    </w:p>
    <w:p w14:paraId="252FA2A7" w14:textId="77777777" w:rsidR="001B58C7" w:rsidRDefault="000F0E0E">
      <w:pPr>
        <w:ind w:left="-360"/>
        <w:rPr>
          <w:lang w:val="fr-FR"/>
        </w:rPr>
      </w:pPr>
      <w:r>
        <w:rPr>
          <w:rFonts w:eastAsia="Constantia"/>
          <w:b/>
          <w:bCs/>
          <w:lang w:val="fr"/>
        </w:rPr>
        <w:t> </w:t>
      </w:r>
    </w:p>
    <w:tbl>
      <w:tblPr>
        <w:tblW w:w="1044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00"/>
        <w:gridCol w:w="1260"/>
        <w:gridCol w:w="1296"/>
        <w:gridCol w:w="1418"/>
        <w:gridCol w:w="1246"/>
        <w:gridCol w:w="2520"/>
      </w:tblGrid>
      <w:tr w:rsidR="001B58C7" w:rsidRPr="00ED3A8A" w14:paraId="4E53B4EE" w14:textId="77777777">
        <w:trPr>
          <w:tblHeader/>
        </w:trPr>
        <w:tc>
          <w:tcPr>
            <w:tcW w:w="2700" w:type="dxa"/>
            <w:shd w:val="clear" w:color="auto" w:fill="EEECE1"/>
          </w:tcPr>
          <w:p w14:paraId="2F7FA621" w14:textId="77777777" w:rsidR="001B58C7" w:rsidRDefault="000F0E0E">
            <w:pPr>
              <w:spacing w:after="160" w:line="276" w:lineRule="auto"/>
              <w:rPr>
                <w:b/>
                <w:kern w:val="2"/>
                <w:sz w:val="22"/>
                <w:szCs w:val="22"/>
                <w:lang w:val="fr-FR" w:eastAsia="en-US"/>
              </w:rPr>
            </w:pPr>
            <w:r>
              <w:rPr>
                <w:b/>
                <w:kern w:val="2"/>
                <w:sz w:val="22"/>
                <w:szCs w:val="22"/>
                <w:lang w:val="fr-FR" w:eastAsia="en-US"/>
              </w:rPr>
              <w:t>Indicateurs de produit</w:t>
            </w:r>
          </w:p>
        </w:tc>
        <w:tc>
          <w:tcPr>
            <w:tcW w:w="1260" w:type="dxa"/>
            <w:shd w:val="clear" w:color="auto" w:fill="EEECE1"/>
          </w:tcPr>
          <w:p w14:paraId="4F150213" w14:textId="77777777" w:rsidR="001B58C7" w:rsidRDefault="000F0E0E">
            <w:pPr>
              <w:spacing w:after="160" w:line="276" w:lineRule="auto"/>
              <w:rPr>
                <w:b/>
                <w:kern w:val="2"/>
                <w:sz w:val="22"/>
                <w:szCs w:val="22"/>
                <w:lang w:val="fr-FR"/>
              </w:rPr>
            </w:pPr>
            <w:r>
              <w:rPr>
                <w:b/>
                <w:kern w:val="2"/>
                <w:sz w:val="22"/>
                <w:szCs w:val="22"/>
                <w:lang w:val="fr-FR"/>
              </w:rPr>
              <w:t>Indicateur de base</w:t>
            </w:r>
          </w:p>
        </w:tc>
        <w:tc>
          <w:tcPr>
            <w:tcW w:w="1296" w:type="dxa"/>
            <w:shd w:val="clear" w:color="auto" w:fill="EEECE1"/>
          </w:tcPr>
          <w:p w14:paraId="73FD74AE" w14:textId="77777777" w:rsidR="001B58C7" w:rsidRDefault="000F0E0E">
            <w:pPr>
              <w:spacing w:after="160" w:line="276" w:lineRule="auto"/>
              <w:rPr>
                <w:b/>
                <w:kern w:val="2"/>
                <w:sz w:val="22"/>
                <w:szCs w:val="22"/>
                <w:lang w:val="fr-FR" w:eastAsia="en-US"/>
              </w:rPr>
            </w:pPr>
            <w:r>
              <w:rPr>
                <w:b/>
                <w:kern w:val="2"/>
                <w:sz w:val="22"/>
                <w:szCs w:val="22"/>
                <w:lang w:val="fr-FR" w:eastAsia="en-US"/>
              </w:rPr>
              <w:t>Cible de fin de projet</w:t>
            </w:r>
          </w:p>
        </w:tc>
        <w:tc>
          <w:tcPr>
            <w:tcW w:w="1418" w:type="dxa"/>
          </w:tcPr>
          <w:p w14:paraId="5D7238FC" w14:textId="77777777" w:rsidR="001B58C7" w:rsidRDefault="000F0E0E">
            <w:pPr>
              <w:spacing w:after="160" w:line="276" w:lineRule="auto"/>
              <w:rPr>
                <w:b/>
                <w:bCs/>
                <w:kern w:val="2"/>
                <w:sz w:val="22"/>
                <w:szCs w:val="22"/>
                <w:lang w:val="fr-FR" w:eastAsia="en-US"/>
              </w:rPr>
            </w:pPr>
            <w:r>
              <w:rPr>
                <w:b/>
                <w:bCs/>
                <w:kern w:val="2"/>
                <w:sz w:val="22"/>
                <w:szCs w:val="22"/>
                <w:lang w:val="fr-FR" w:eastAsia="en-US"/>
              </w:rPr>
              <w:t>Progrès de l’indicateur pour la période de référence</w:t>
            </w:r>
          </w:p>
        </w:tc>
        <w:tc>
          <w:tcPr>
            <w:tcW w:w="1246" w:type="dxa"/>
          </w:tcPr>
          <w:p w14:paraId="02010C78" w14:textId="77777777" w:rsidR="001B58C7" w:rsidRDefault="000F0E0E">
            <w:pPr>
              <w:spacing w:after="160" w:line="276" w:lineRule="auto"/>
              <w:rPr>
                <w:b/>
                <w:bCs/>
                <w:kern w:val="2"/>
                <w:sz w:val="22"/>
                <w:szCs w:val="22"/>
                <w:lang w:val="fr-FR" w:eastAsia="en-US"/>
              </w:rPr>
            </w:pPr>
            <w:r>
              <w:rPr>
                <w:b/>
                <w:bCs/>
                <w:kern w:val="2"/>
                <w:sz w:val="22"/>
                <w:szCs w:val="22"/>
                <w:lang w:val="fr-FR" w:eastAsia="en-US"/>
              </w:rPr>
              <w:t>Progrès de l’indicateur depuis le début du projet</w:t>
            </w:r>
          </w:p>
        </w:tc>
        <w:tc>
          <w:tcPr>
            <w:tcW w:w="2520" w:type="dxa"/>
          </w:tcPr>
          <w:p w14:paraId="7D4800CD" w14:textId="77777777" w:rsidR="001B58C7" w:rsidRDefault="000F0E0E">
            <w:pPr>
              <w:spacing w:after="160" w:line="276" w:lineRule="auto"/>
              <w:rPr>
                <w:b/>
                <w:kern w:val="2"/>
                <w:sz w:val="22"/>
                <w:szCs w:val="22"/>
                <w:lang w:val="fr-FR" w:eastAsia="en-US"/>
              </w:rPr>
            </w:pPr>
            <w:r>
              <w:rPr>
                <w:b/>
                <w:kern w:val="2"/>
                <w:sz w:val="22"/>
                <w:szCs w:val="22"/>
                <w:lang w:val="fr-FR" w:eastAsia="en-US"/>
              </w:rPr>
              <w:t>Raisons pour les retards ou changements (s'il y en a)</w:t>
            </w:r>
          </w:p>
        </w:tc>
      </w:tr>
      <w:tr w:rsidR="001B58C7" w:rsidRPr="00ED3A8A" w14:paraId="4E1CE49D" w14:textId="77777777">
        <w:trPr>
          <w:trHeight w:val="548"/>
        </w:trPr>
        <w:tc>
          <w:tcPr>
            <w:tcW w:w="2700" w:type="dxa"/>
            <w:shd w:val="clear" w:color="auto" w:fill="EEECE1"/>
          </w:tcPr>
          <w:p w14:paraId="7C50F3FC" w14:textId="77777777" w:rsidR="001B58C7" w:rsidRDefault="000F0E0E">
            <w:pPr>
              <w:spacing w:after="160" w:line="276" w:lineRule="auto"/>
              <w:rPr>
                <w:kern w:val="2"/>
                <w:sz w:val="22"/>
                <w:szCs w:val="22"/>
                <w:lang w:val="fr-FR" w:eastAsia="en-US"/>
              </w:rPr>
            </w:pPr>
            <w:r>
              <w:rPr>
                <w:b/>
                <w:kern w:val="2"/>
                <w:sz w:val="22"/>
                <w:szCs w:val="22"/>
                <w:lang w:val="fr-FR" w:eastAsia="en-US"/>
              </w:rPr>
              <w:t>Indicateur</w:t>
            </w:r>
            <w:r>
              <w:rPr>
                <w:kern w:val="2"/>
                <w:sz w:val="22"/>
                <w:szCs w:val="22"/>
                <w:lang w:val="fr-FR" w:eastAsia="en-US"/>
              </w:rPr>
              <w:t xml:space="preserve"> 1.1.1</w:t>
            </w:r>
          </w:p>
          <w:p w14:paraId="48AD0F78" w14:textId="77777777" w:rsidR="001B58C7" w:rsidRPr="006B740B" w:rsidRDefault="000F0E0E">
            <w:pPr>
              <w:spacing w:after="160" w:line="276" w:lineRule="auto"/>
              <w:rPr>
                <w:kern w:val="2"/>
                <w:sz w:val="22"/>
                <w:szCs w:val="22"/>
                <w:lang w:val="fr-FR" w:eastAsia="en-US"/>
              </w:rPr>
            </w:pPr>
            <w:r w:rsidRPr="006B740B">
              <w:rPr>
                <w:kern w:val="2"/>
                <w:sz w:val="22"/>
                <w:szCs w:val="22"/>
                <w:lang w:val="fr-FR" w:eastAsia="en-US"/>
              </w:rPr>
              <w:t>Nombre de personnes sensibilisées sur la justice transitionnelle sur le mandat de la CPVJR Kasai-Central.</w:t>
            </w:r>
          </w:p>
        </w:tc>
        <w:tc>
          <w:tcPr>
            <w:tcW w:w="1260" w:type="dxa"/>
          </w:tcPr>
          <w:p w14:paraId="3237516D" w14:textId="77777777" w:rsidR="001B58C7" w:rsidRDefault="000F0E0E">
            <w:pPr>
              <w:spacing w:after="160" w:line="276" w:lineRule="auto"/>
              <w:rPr>
                <w:rFonts w:eastAsia="Constantia"/>
                <w:kern w:val="2"/>
                <w:sz w:val="22"/>
                <w:szCs w:val="22"/>
                <w:lang w:val="fr-FR"/>
              </w:rPr>
            </w:pPr>
            <w:r>
              <w:rPr>
                <w:rFonts w:eastAsia="Constantia"/>
                <w:kern w:val="2"/>
                <w:sz w:val="22"/>
                <w:szCs w:val="22"/>
                <w:lang w:val="fr-FR"/>
              </w:rPr>
              <w:t>36,000 (dont 2,700 femmes)</w:t>
            </w:r>
          </w:p>
        </w:tc>
        <w:tc>
          <w:tcPr>
            <w:tcW w:w="1296" w:type="dxa"/>
          </w:tcPr>
          <w:p w14:paraId="0F3B8C7B" w14:textId="77777777" w:rsidR="001B58C7" w:rsidRDefault="000F0E0E">
            <w:pPr>
              <w:spacing w:after="160" w:line="276" w:lineRule="auto"/>
              <w:rPr>
                <w:rFonts w:eastAsia="Constantia"/>
                <w:kern w:val="2"/>
                <w:sz w:val="22"/>
                <w:szCs w:val="22"/>
                <w:lang w:val="fr"/>
              </w:rPr>
            </w:pPr>
            <w:r>
              <w:rPr>
                <w:rFonts w:eastAsia="Constantia"/>
                <w:kern w:val="2"/>
                <w:sz w:val="22"/>
                <w:szCs w:val="22"/>
                <w:lang w:val="fr"/>
              </w:rPr>
              <w:t>100,000 (dont 50 000 femmes)</w:t>
            </w:r>
          </w:p>
        </w:tc>
        <w:tc>
          <w:tcPr>
            <w:tcW w:w="1418" w:type="dxa"/>
          </w:tcPr>
          <w:p w14:paraId="7A8901E7" w14:textId="77777777" w:rsidR="001B58C7" w:rsidRDefault="000F0E0E">
            <w:pPr>
              <w:spacing w:after="160" w:line="276" w:lineRule="auto"/>
              <w:rPr>
                <w:rFonts w:eastAsia="Constantia"/>
                <w:kern w:val="2"/>
                <w:sz w:val="22"/>
                <w:szCs w:val="22"/>
                <w:lang w:val="fr"/>
              </w:rPr>
            </w:pPr>
            <w:r>
              <w:rPr>
                <w:rFonts w:eastAsia="Constantia"/>
                <w:kern w:val="2"/>
                <w:sz w:val="22"/>
                <w:szCs w:val="22"/>
                <w:lang w:val="fr-FR"/>
              </w:rPr>
              <w:t>80 personnes, soit 0.08%</w:t>
            </w:r>
          </w:p>
        </w:tc>
        <w:tc>
          <w:tcPr>
            <w:tcW w:w="1246" w:type="dxa"/>
          </w:tcPr>
          <w:p w14:paraId="751AF619" w14:textId="77777777" w:rsidR="001B58C7" w:rsidRDefault="000F0E0E">
            <w:pPr>
              <w:spacing w:after="160" w:line="276" w:lineRule="auto"/>
              <w:rPr>
                <w:rFonts w:eastAsia="Constantia"/>
                <w:kern w:val="2"/>
                <w:sz w:val="22"/>
                <w:szCs w:val="22"/>
                <w:lang w:val="fr-FR"/>
              </w:rPr>
            </w:pPr>
            <w:r>
              <w:rPr>
                <w:rFonts w:eastAsia="Constantia"/>
                <w:kern w:val="2"/>
                <w:sz w:val="22"/>
                <w:szCs w:val="22"/>
                <w:lang w:val="fr-FR"/>
              </w:rPr>
              <w:t>80 personnes, soit 0.08%</w:t>
            </w:r>
          </w:p>
        </w:tc>
        <w:tc>
          <w:tcPr>
            <w:tcW w:w="2520" w:type="dxa"/>
          </w:tcPr>
          <w:p w14:paraId="26600E9A" w14:textId="77777777" w:rsidR="001B58C7" w:rsidRDefault="000F0E0E">
            <w:pPr>
              <w:spacing w:after="160" w:line="276" w:lineRule="auto"/>
              <w:rPr>
                <w:rFonts w:eastAsia="Constantia"/>
                <w:kern w:val="2"/>
                <w:sz w:val="22"/>
                <w:szCs w:val="22"/>
                <w:lang w:val="fr-FR"/>
              </w:rPr>
            </w:pPr>
            <w:r>
              <w:rPr>
                <w:rFonts w:eastAsia="Constantia"/>
                <w:kern w:val="2"/>
                <w:sz w:val="22"/>
                <w:szCs w:val="22"/>
                <w:lang w:val="fr-FR"/>
              </w:rPr>
              <w:t>La cartographie des médias qui contribueront à la campagne de sensibilisation des masses afin d’atteindre la cible du projet est encore en cours.</w:t>
            </w:r>
          </w:p>
        </w:tc>
      </w:tr>
      <w:tr w:rsidR="001B58C7" w:rsidRPr="00ED3A8A" w14:paraId="1DD9CA3D" w14:textId="77777777">
        <w:trPr>
          <w:trHeight w:val="548"/>
        </w:trPr>
        <w:tc>
          <w:tcPr>
            <w:tcW w:w="2700" w:type="dxa"/>
            <w:shd w:val="clear" w:color="auto" w:fill="EEECE1"/>
          </w:tcPr>
          <w:p w14:paraId="457B3D7E" w14:textId="77777777" w:rsidR="001B58C7" w:rsidRDefault="000F0E0E">
            <w:pPr>
              <w:spacing w:after="160" w:line="276" w:lineRule="auto"/>
              <w:rPr>
                <w:kern w:val="2"/>
                <w:sz w:val="22"/>
                <w:szCs w:val="22"/>
                <w:lang w:val="fr-FR" w:eastAsia="en-US"/>
              </w:rPr>
            </w:pPr>
            <w:r>
              <w:rPr>
                <w:b/>
                <w:kern w:val="2"/>
                <w:sz w:val="22"/>
                <w:szCs w:val="22"/>
                <w:lang w:val="fr-FR" w:eastAsia="en-US"/>
              </w:rPr>
              <w:t>Indicateur</w:t>
            </w:r>
            <w:r>
              <w:rPr>
                <w:kern w:val="2"/>
                <w:sz w:val="22"/>
                <w:szCs w:val="22"/>
                <w:lang w:val="fr-FR" w:eastAsia="en-US"/>
              </w:rPr>
              <w:t xml:space="preserve"> 1.1.2</w:t>
            </w:r>
          </w:p>
          <w:p w14:paraId="23F2D82D" w14:textId="77777777" w:rsidR="001B58C7" w:rsidRPr="006B740B" w:rsidRDefault="000F0E0E">
            <w:pPr>
              <w:spacing w:after="160" w:line="276" w:lineRule="auto"/>
              <w:rPr>
                <w:kern w:val="2"/>
                <w:sz w:val="22"/>
                <w:szCs w:val="22"/>
                <w:lang w:val="fr-FR" w:eastAsia="en-US"/>
              </w:rPr>
            </w:pPr>
            <w:r w:rsidRPr="006B740B">
              <w:rPr>
                <w:kern w:val="2"/>
                <w:sz w:val="22"/>
                <w:szCs w:val="22"/>
                <w:lang w:val="fr-FR" w:eastAsia="en-US"/>
              </w:rPr>
              <w:t>Nombre d’enquêtes sur les violations graves des droits de l’homme et du droit international humanitaire engagées par la CPVJR dans le cadre de son mandat.</w:t>
            </w:r>
          </w:p>
        </w:tc>
        <w:tc>
          <w:tcPr>
            <w:tcW w:w="1260" w:type="dxa"/>
          </w:tcPr>
          <w:p w14:paraId="365C022D" w14:textId="77777777" w:rsidR="001B58C7" w:rsidRDefault="000F0E0E">
            <w:pPr>
              <w:spacing w:after="160" w:line="276" w:lineRule="auto"/>
              <w:rPr>
                <w:b/>
                <w:kern w:val="2"/>
                <w:sz w:val="22"/>
                <w:szCs w:val="22"/>
                <w:lang w:val="fr-FR" w:eastAsia="en-US"/>
              </w:rPr>
            </w:pPr>
            <w:r>
              <w:rPr>
                <w:b/>
                <w:kern w:val="2"/>
                <w:sz w:val="22"/>
                <w:szCs w:val="22"/>
                <w:lang w:val="fr-FR" w:eastAsia="en-US"/>
              </w:rPr>
              <w:t>00</w:t>
            </w:r>
          </w:p>
        </w:tc>
        <w:tc>
          <w:tcPr>
            <w:tcW w:w="1296" w:type="dxa"/>
          </w:tcPr>
          <w:p w14:paraId="02CC4B4C" w14:textId="77777777" w:rsidR="001B58C7" w:rsidRDefault="000F0E0E">
            <w:pPr>
              <w:spacing w:after="160" w:line="276" w:lineRule="auto"/>
              <w:rPr>
                <w:b/>
                <w:kern w:val="2"/>
                <w:sz w:val="22"/>
                <w:szCs w:val="22"/>
                <w:lang w:val="fr-FR" w:eastAsia="en-US"/>
              </w:rPr>
            </w:pPr>
            <w:r>
              <w:rPr>
                <w:b/>
                <w:kern w:val="2"/>
                <w:sz w:val="22"/>
                <w:szCs w:val="22"/>
                <w:lang w:val="fr-FR" w:eastAsia="en-US"/>
              </w:rPr>
              <w:t>2</w:t>
            </w:r>
          </w:p>
        </w:tc>
        <w:tc>
          <w:tcPr>
            <w:tcW w:w="1418" w:type="dxa"/>
          </w:tcPr>
          <w:p w14:paraId="72715901" w14:textId="77777777" w:rsidR="001B58C7" w:rsidRDefault="000F0E0E">
            <w:pPr>
              <w:spacing w:after="160" w:line="276" w:lineRule="auto"/>
              <w:rPr>
                <w:b/>
                <w:kern w:val="2"/>
                <w:sz w:val="22"/>
                <w:szCs w:val="22"/>
                <w:lang w:val="fr-FR" w:eastAsia="en-US"/>
              </w:rPr>
            </w:pPr>
            <w:proofErr w:type="gramStart"/>
            <w:r>
              <w:rPr>
                <w:b/>
                <w:kern w:val="2"/>
                <w:sz w:val="22"/>
                <w:szCs w:val="22"/>
                <w:lang w:val="fr-FR" w:eastAsia="en-US"/>
              </w:rPr>
              <w:t>n</w:t>
            </w:r>
            <w:proofErr w:type="gramEnd"/>
            <w:r>
              <w:rPr>
                <w:b/>
                <w:kern w:val="2"/>
                <w:sz w:val="22"/>
                <w:szCs w:val="22"/>
                <w:lang w:val="fr-FR" w:eastAsia="en-US"/>
              </w:rPr>
              <w:t>/a</w:t>
            </w:r>
          </w:p>
        </w:tc>
        <w:tc>
          <w:tcPr>
            <w:tcW w:w="1246" w:type="dxa"/>
          </w:tcPr>
          <w:p w14:paraId="017076A0" w14:textId="77777777" w:rsidR="001B58C7" w:rsidRDefault="000F0E0E">
            <w:pPr>
              <w:spacing w:after="160" w:line="276" w:lineRule="auto"/>
              <w:rPr>
                <w:b/>
                <w:kern w:val="2"/>
                <w:sz w:val="22"/>
                <w:szCs w:val="22"/>
                <w:lang w:val="fr-FR" w:eastAsia="en-US"/>
              </w:rPr>
            </w:pPr>
            <w:proofErr w:type="gramStart"/>
            <w:r>
              <w:rPr>
                <w:b/>
                <w:kern w:val="2"/>
                <w:sz w:val="22"/>
                <w:szCs w:val="22"/>
                <w:lang w:val="fr-FR" w:eastAsia="en-US"/>
              </w:rPr>
              <w:t>n</w:t>
            </w:r>
            <w:proofErr w:type="gramEnd"/>
            <w:r>
              <w:rPr>
                <w:b/>
                <w:kern w:val="2"/>
                <w:sz w:val="22"/>
                <w:szCs w:val="22"/>
                <w:lang w:val="fr-FR" w:eastAsia="en-US"/>
              </w:rPr>
              <w:t>/a</w:t>
            </w:r>
          </w:p>
        </w:tc>
        <w:tc>
          <w:tcPr>
            <w:tcW w:w="2520" w:type="dxa"/>
          </w:tcPr>
          <w:p w14:paraId="52839AE3" w14:textId="77777777" w:rsidR="001B58C7" w:rsidRDefault="000F0E0E">
            <w:pPr>
              <w:spacing w:after="160" w:line="276" w:lineRule="auto"/>
              <w:rPr>
                <w:b/>
                <w:kern w:val="2"/>
                <w:sz w:val="22"/>
                <w:szCs w:val="22"/>
                <w:lang w:val="fr" w:eastAsia="en-US"/>
              </w:rPr>
            </w:pPr>
            <w:r>
              <w:rPr>
                <w:rFonts w:eastAsia="Constantia"/>
                <w:kern w:val="2"/>
                <w:sz w:val="22"/>
                <w:szCs w:val="22"/>
                <w:lang w:val="fr"/>
              </w:rPr>
              <w:t>La sélection des 30 enquêteurs et les formations préalables de ces derniers ainsi que des 11 Commissaires ont été réalisées ; les enquêtes proprement dites sont en cours de préparation.</w:t>
            </w:r>
          </w:p>
        </w:tc>
      </w:tr>
      <w:tr w:rsidR="001B58C7" w:rsidRPr="00ED3A8A" w14:paraId="47ABBE10" w14:textId="77777777">
        <w:trPr>
          <w:trHeight w:val="548"/>
        </w:trPr>
        <w:tc>
          <w:tcPr>
            <w:tcW w:w="2700" w:type="dxa"/>
            <w:shd w:val="clear" w:color="auto" w:fill="EEECE1"/>
          </w:tcPr>
          <w:p w14:paraId="473047F2" w14:textId="77777777" w:rsidR="001B58C7" w:rsidRDefault="000F0E0E">
            <w:pPr>
              <w:spacing w:after="160" w:line="276" w:lineRule="auto"/>
              <w:rPr>
                <w:kern w:val="2"/>
                <w:sz w:val="22"/>
                <w:szCs w:val="22"/>
                <w:lang w:val="fr-FR" w:eastAsia="en-US"/>
              </w:rPr>
            </w:pPr>
            <w:r>
              <w:rPr>
                <w:b/>
                <w:kern w:val="2"/>
                <w:sz w:val="22"/>
                <w:szCs w:val="22"/>
                <w:lang w:val="fr-FR" w:eastAsia="en-US"/>
              </w:rPr>
              <w:t>Indicateur</w:t>
            </w:r>
            <w:r>
              <w:rPr>
                <w:kern w:val="2"/>
                <w:sz w:val="22"/>
                <w:szCs w:val="22"/>
                <w:lang w:val="fr-FR" w:eastAsia="en-US"/>
              </w:rPr>
              <w:t xml:space="preserve"> 1.1.3</w:t>
            </w:r>
          </w:p>
          <w:p w14:paraId="2244FB30" w14:textId="77777777" w:rsidR="001B58C7" w:rsidRPr="006B740B" w:rsidRDefault="000F0E0E">
            <w:pPr>
              <w:spacing w:after="160" w:line="276" w:lineRule="auto"/>
              <w:rPr>
                <w:kern w:val="2"/>
                <w:sz w:val="22"/>
                <w:szCs w:val="22"/>
                <w:lang w:val="fr-FR" w:eastAsia="en-US"/>
              </w:rPr>
            </w:pPr>
            <w:r>
              <w:rPr>
                <w:bCs/>
                <w:kern w:val="2"/>
                <w:sz w:val="22"/>
                <w:szCs w:val="22"/>
                <w:lang w:val="fr-FR" w:eastAsia="en-US"/>
              </w:rPr>
              <w:t>Nombre de victimes ayant eu accès à des services d’urgence dans le cadre du circuit de référencement mis en place par la CPVJR</w:t>
            </w:r>
          </w:p>
        </w:tc>
        <w:tc>
          <w:tcPr>
            <w:tcW w:w="1260" w:type="dxa"/>
          </w:tcPr>
          <w:p w14:paraId="4B6525F8" w14:textId="77777777" w:rsidR="001B58C7" w:rsidRDefault="000F0E0E">
            <w:pPr>
              <w:spacing w:after="160" w:line="276" w:lineRule="auto"/>
              <w:rPr>
                <w:kern w:val="2"/>
                <w:sz w:val="22"/>
                <w:szCs w:val="22"/>
                <w:lang w:val="fr-FR"/>
              </w:rPr>
            </w:pPr>
            <w:r>
              <w:rPr>
                <w:b/>
                <w:bCs/>
                <w:kern w:val="2"/>
                <w:sz w:val="22"/>
                <w:szCs w:val="22"/>
                <w:lang w:val="fr-FR" w:eastAsia="en-US"/>
              </w:rPr>
              <w:t>00</w:t>
            </w:r>
          </w:p>
        </w:tc>
        <w:tc>
          <w:tcPr>
            <w:tcW w:w="1296" w:type="dxa"/>
          </w:tcPr>
          <w:p w14:paraId="026E8A84" w14:textId="77777777" w:rsidR="001B58C7" w:rsidRDefault="000F0E0E">
            <w:pPr>
              <w:spacing w:after="160" w:line="276" w:lineRule="auto"/>
              <w:rPr>
                <w:kern w:val="2"/>
                <w:sz w:val="22"/>
                <w:szCs w:val="22"/>
                <w:lang w:val="zh-CN"/>
              </w:rPr>
            </w:pPr>
            <w:r>
              <w:rPr>
                <w:kern w:val="2"/>
                <w:sz w:val="22"/>
                <w:szCs w:val="22"/>
                <w:lang w:val="zh-CN"/>
              </w:rPr>
              <w:t>100 (dont 50 femmes).</w:t>
            </w:r>
          </w:p>
        </w:tc>
        <w:tc>
          <w:tcPr>
            <w:tcW w:w="1418" w:type="dxa"/>
          </w:tcPr>
          <w:p w14:paraId="65C4A140" w14:textId="77777777" w:rsidR="001B58C7" w:rsidRDefault="000F0E0E">
            <w:pPr>
              <w:spacing w:after="160" w:line="276" w:lineRule="auto"/>
              <w:rPr>
                <w:b/>
                <w:kern w:val="2"/>
                <w:sz w:val="22"/>
                <w:szCs w:val="22"/>
                <w:lang w:val="fr-FR"/>
              </w:rPr>
            </w:pPr>
            <w:proofErr w:type="gramStart"/>
            <w:r>
              <w:rPr>
                <w:b/>
                <w:kern w:val="2"/>
                <w:sz w:val="22"/>
                <w:szCs w:val="22"/>
                <w:lang w:val="fr-FR"/>
              </w:rPr>
              <w:t>n</w:t>
            </w:r>
            <w:proofErr w:type="gramEnd"/>
            <w:r>
              <w:rPr>
                <w:b/>
                <w:kern w:val="2"/>
                <w:sz w:val="22"/>
                <w:szCs w:val="22"/>
                <w:lang w:val="fr-FR"/>
              </w:rPr>
              <w:t>/a</w:t>
            </w:r>
          </w:p>
        </w:tc>
        <w:tc>
          <w:tcPr>
            <w:tcW w:w="1246" w:type="dxa"/>
          </w:tcPr>
          <w:p w14:paraId="436AF00A" w14:textId="77777777" w:rsidR="001B58C7" w:rsidRDefault="000F0E0E">
            <w:pPr>
              <w:spacing w:after="160" w:line="276" w:lineRule="auto"/>
              <w:rPr>
                <w:kern w:val="2"/>
                <w:sz w:val="22"/>
                <w:szCs w:val="22"/>
                <w:lang w:val="fr-FR"/>
              </w:rPr>
            </w:pPr>
            <w:proofErr w:type="gramStart"/>
            <w:r>
              <w:rPr>
                <w:kern w:val="2"/>
                <w:sz w:val="22"/>
                <w:szCs w:val="22"/>
                <w:lang w:val="fr-FR"/>
              </w:rPr>
              <w:t>n</w:t>
            </w:r>
            <w:proofErr w:type="gramEnd"/>
            <w:r>
              <w:rPr>
                <w:kern w:val="2"/>
                <w:sz w:val="22"/>
                <w:szCs w:val="22"/>
                <w:lang w:val="fr-FR"/>
              </w:rPr>
              <w:t>/a</w:t>
            </w:r>
          </w:p>
          <w:p w14:paraId="78878DAA" w14:textId="77777777" w:rsidR="001B58C7" w:rsidRDefault="001B58C7">
            <w:pPr>
              <w:spacing w:after="160" w:line="276" w:lineRule="auto"/>
              <w:rPr>
                <w:b/>
                <w:bCs/>
                <w:kern w:val="2"/>
                <w:sz w:val="22"/>
                <w:szCs w:val="22"/>
                <w:lang w:val="fr-FR" w:eastAsia="en-US"/>
              </w:rPr>
            </w:pPr>
          </w:p>
        </w:tc>
        <w:tc>
          <w:tcPr>
            <w:tcW w:w="2520" w:type="dxa"/>
          </w:tcPr>
          <w:p w14:paraId="0352B164" w14:textId="77777777" w:rsidR="001B58C7" w:rsidRDefault="000F0E0E">
            <w:pPr>
              <w:spacing w:after="160" w:line="276" w:lineRule="auto"/>
              <w:rPr>
                <w:rFonts w:eastAsia="Constantia"/>
                <w:kern w:val="2"/>
                <w:sz w:val="22"/>
                <w:szCs w:val="22"/>
                <w:lang w:val="nl-NL"/>
              </w:rPr>
            </w:pPr>
            <w:r>
              <w:rPr>
                <w:rFonts w:eastAsia="Constantia"/>
                <w:kern w:val="2"/>
                <w:sz w:val="22"/>
                <w:szCs w:val="22"/>
                <w:lang w:val="nl-NL"/>
              </w:rPr>
              <w:t xml:space="preserve">En attente des enquêtes </w:t>
            </w:r>
            <w:proofErr w:type="spellStart"/>
            <w:r>
              <w:rPr>
                <w:rFonts w:eastAsia="Constantia"/>
                <w:kern w:val="2"/>
                <w:sz w:val="22"/>
                <w:szCs w:val="22"/>
                <w:lang w:val="nl-NL"/>
              </w:rPr>
              <w:t>proprement</w:t>
            </w:r>
            <w:proofErr w:type="spellEnd"/>
            <w:r>
              <w:rPr>
                <w:rFonts w:eastAsia="Constantia"/>
                <w:kern w:val="2"/>
                <w:sz w:val="22"/>
                <w:szCs w:val="22"/>
                <w:lang w:val="nl-NL"/>
              </w:rPr>
              <w:t xml:space="preserve"> </w:t>
            </w:r>
            <w:proofErr w:type="spellStart"/>
            <w:r>
              <w:rPr>
                <w:rFonts w:eastAsia="Constantia"/>
                <w:kern w:val="2"/>
                <w:sz w:val="22"/>
                <w:szCs w:val="22"/>
                <w:lang w:val="nl-NL"/>
              </w:rPr>
              <w:t>dites</w:t>
            </w:r>
            <w:proofErr w:type="spellEnd"/>
            <w:r>
              <w:rPr>
                <w:rFonts w:eastAsia="Constantia"/>
                <w:kern w:val="2"/>
                <w:sz w:val="22"/>
                <w:szCs w:val="22"/>
                <w:lang w:val="nl-NL"/>
              </w:rPr>
              <w:t>.</w:t>
            </w:r>
          </w:p>
          <w:p w14:paraId="166BFBE8" w14:textId="77777777" w:rsidR="001B58C7" w:rsidRDefault="001B58C7">
            <w:pPr>
              <w:spacing w:after="160" w:line="276" w:lineRule="auto"/>
              <w:rPr>
                <w:b/>
                <w:bCs/>
                <w:kern w:val="2"/>
                <w:sz w:val="22"/>
                <w:szCs w:val="22"/>
                <w:lang w:val="fr-FR" w:eastAsia="zh-CN"/>
              </w:rPr>
            </w:pPr>
          </w:p>
        </w:tc>
      </w:tr>
    </w:tbl>
    <w:p w14:paraId="22A740EF" w14:textId="77777777" w:rsidR="001B58C7" w:rsidRDefault="001B58C7">
      <w:pPr>
        <w:rPr>
          <w:b/>
          <w:bCs/>
          <w:u w:val="single"/>
          <w:lang w:val="fr-FR"/>
        </w:rPr>
      </w:pPr>
    </w:p>
    <w:p w14:paraId="0572D17E" w14:textId="77777777" w:rsidR="001B58C7" w:rsidRDefault="000F0E0E">
      <w:pPr>
        <w:ind w:left="-360"/>
        <w:jc w:val="both"/>
        <w:rPr>
          <w:rFonts w:eastAsia="Constantia"/>
          <w:b/>
          <w:bCs/>
          <w:lang w:val="fr-FR"/>
        </w:rPr>
      </w:pPr>
      <w:r w:rsidRPr="006B740B">
        <w:rPr>
          <w:b/>
          <w:bCs/>
          <w:u w:val="single"/>
          <w:lang w:val="fr-FR"/>
        </w:rPr>
        <w:t xml:space="preserve">Produit 1.2 : </w:t>
      </w:r>
      <w:r>
        <w:rPr>
          <w:rFonts w:eastAsia="Constantia"/>
          <w:b/>
          <w:bCs/>
          <w:lang w:val="fr"/>
        </w:rPr>
        <w:t>Les communautés affectées par les conflits au Kasaï sont informées sur les mécanismes de justice transitionnelle et ont la capacité de participer au développement et à la mise en œuvre d’un processus provincial de justice transitionnelle, promouvant notamment la recherche de la vérité</w:t>
      </w:r>
      <w:r>
        <w:rPr>
          <w:rFonts w:eastAsia="Constantia"/>
          <w:b/>
          <w:bCs/>
          <w:lang w:val="fr-FR"/>
        </w:rPr>
        <w:t>.</w:t>
      </w:r>
    </w:p>
    <w:p w14:paraId="20DB78E3" w14:textId="77777777" w:rsidR="001B58C7" w:rsidRDefault="001B58C7">
      <w:pPr>
        <w:ind w:left="-360"/>
        <w:jc w:val="both"/>
        <w:rPr>
          <w:lang w:val="fr-FR"/>
        </w:rPr>
      </w:pPr>
    </w:p>
    <w:tbl>
      <w:tblPr>
        <w:tblW w:w="1044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00"/>
        <w:gridCol w:w="1139"/>
        <w:gridCol w:w="1417"/>
        <w:gridCol w:w="1418"/>
        <w:gridCol w:w="1246"/>
        <w:gridCol w:w="2520"/>
      </w:tblGrid>
      <w:tr w:rsidR="001B58C7" w:rsidRPr="00ED3A8A" w14:paraId="027F0D25" w14:textId="77777777">
        <w:trPr>
          <w:tblHeader/>
        </w:trPr>
        <w:tc>
          <w:tcPr>
            <w:tcW w:w="2700" w:type="dxa"/>
            <w:shd w:val="clear" w:color="auto" w:fill="EEECE1"/>
          </w:tcPr>
          <w:p w14:paraId="1EB95317" w14:textId="77777777" w:rsidR="001B58C7" w:rsidRDefault="000F0E0E">
            <w:pPr>
              <w:spacing w:after="160" w:line="276" w:lineRule="auto"/>
              <w:rPr>
                <w:b/>
                <w:kern w:val="2"/>
                <w:sz w:val="22"/>
                <w:szCs w:val="22"/>
                <w:lang w:val="fr-FR" w:eastAsia="en-US"/>
              </w:rPr>
            </w:pPr>
            <w:r>
              <w:rPr>
                <w:b/>
                <w:kern w:val="2"/>
                <w:sz w:val="22"/>
                <w:szCs w:val="22"/>
                <w:lang w:val="fr-FR" w:eastAsia="en-US"/>
              </w:rPr>
              <w:t>Indicateurs de produit</w:t>
            </w:r>
          </w:p>
        </w:tc>
        <w:tc>
          <w:tcPr>
            <w:tcW w:w="1139" w:type="dxa"/>
            <w:shd w:val="clear" w:color="auto" w:fill="EEECE1"/>
          </w:tcPr>
          <w:p w14:paraId="46B55CCA" w14:textId="77777777" w:rsidR="001B58C7" w:rsidRDefault="000F0E0E">
            <w:pPr>
              <w:spacing w:after="160" w:line="276" w:lineRule="auto"/>
              <w:rPr>
                <w:b/>
                <w:kern w:val="2"/>
                <w:sz w:val="22"/>
                <w:szCs w:val="22"/>
                <w:lang w:val="fr-FR"/>
              </w:rPr>
            </w:pPr>
            <w:r>
              <w:rPr>
                <w:b/>
                <w:kern w:val="2"/>
                <w:sz w:val="22"/>
                <w:szCs w:val="22"/>
                <w:lang w:val="fr-FR"/>
              </w:rPr>
              <w:t>Indicateur de base</w:t>
            </w:r>
          </w:p>
        </w:tc>
        <w:tc>
          <w:tcPr>
            <w:tcW w:w="1417" w:type="dxa"/>
            <w:shd w:val="clear" w:color="auto" w:fill="EEECE1"/>
          </w:tcPr>
          <w:p w14:paraId="36B59D81" w14:textId="77777777" w:rsidR="001B58C7" w:rsidRDefault="000F0E0E">
            <w:pPr>
              <w:spacing w:after="160" w:line="276" w:lineRule="auto"/>
              <w:rPr>
                <w:b/>
                <w:kern w:val="2"/>
                <w:sz w:val="22"/>
                <w:szCs w:val="22"/>
                <w:lang w:val="fr-FR" w:eastAsia="en-US"/>
              </w:rPr>
            </w:pPr>
            <w:r>
              <w:rPr>
                <w:b/>
                <w:kern w:val="2"/>
                <w:sz w:val="22"/>
                <w:szCs w:val="22"/>
                <w:lang w:val="fr-FR" w:eastAsia="en-US"/>
              </w:rPr>
              <w:t>Cible de fin de projet</w:t>
            </w:r>
          </w:p>
        </w:tc>
        <w:tc>
          <w:tcPr>
            <w:tcW w:w="1418" w:type="dxa"/>
          </w:tcPr>
          <w:p w14:paraId="70683BD2" w14:textId="77777777" w:rsidR="001B58C7" w:rsidRDefault="000F0E0E">
            <w:pPr>
              <w:spacing w:after="160" w:line="276" w:lineRule="auto"/>
              <w:rPr>
                <w:b/>
                <w:bCs/>
                <w:kern w:val="2"/>
                <w:sz w:val="22"/>
                <w:szCs w:val="22"/>
                <w:lang w:val="fr-FR" w:eastAsia="en-US"/>
              </w:rPr>
            </w:pPr>
            <w:r>
              <w:rPr>
                <w:b/>
                <w:bCs/>
                <w:kern w:val="2"/>
                <w:sz w:val="22"/>
                <w:szCs w:val="22"/>
                <w:lang w:val="fr-FR" w:eastAsia="en-US"/>
              </w:rPr>
              <w:t>Progrès de l’indicateur pour la période de référence</w:t>
            </w:r>
          </w:p>
        </w:tc>
        <w:tc>
          <w:tcPr>
            <w:tcW w:w="1246" w:type="dxa"/>
          </w:tcPr>
          <w:p w14:paraId="69CBDEF3" w14:textId="77777777" w:rsidR="001B58C7" w:rsidRDefault="000F0E0E">
            <w:pPr>
              <w:spacing w:after="160" w:line="276" w:lineRule="auto"/>
              <w:rPr>
                <w:b/>
                <w:bCs/>
                <w:kern w:val="2"/>
                <w:sz w:val="22"/>
                <w:szCs w:val="22"/>
                <w:lang w:val="fr-FR" w:eastAsia="en-US"/>
              </w:rPr>
            </w:pPr>
            <w:r>
              <w:rPr>
                <w:b/>
                <w:bCs/>
                <w:kern w:val="2"/>
                <w:sz w:val="22"/>
                <w:szCs w:val="22"/>
                <w:lang w:val="fr-FR" w:eastAsia="en-US"/>
              </w:rPr>
              <w:t>Progrès de l’indicateur depuis le début du projet</w:t>
            </w:r>
          </w:p>
        </w:tc>
        <w:tc>
          <w:tcPr>
            <w:tcW w:w="2520" w:type="dxa"/>
          </w:tcPr>
          <w:p w14:paraId="4D34ED43" w14:textId="77777777" w:rsidR="001B58C7" w:rsidRDefault="000F0E0E">
            <w:pPr>
              <w:spacing w:after="160" w:line="276" w:lineRule="auto"/>
              <w:rPr>
                <w:b/>
                <w:kern w:val="2"/>
                <w:sz w:val="22"/>
                <w:szCs w:val="22"/>
                <w:lang w:val="fr-FR" w:eastAsia="en-US"/>
              </w:rPr>
            </w:pPr>
            <w:r>
              <w:rPr>
                <w:b/>
                <w:kern w:val="2"/>
                <w:sz w:val="22"/>
                <w:szCs w:val="22"/>
                <w:lang w:val="fr-FR" w:eastAsia="en-US"/>
              </w:rPr>
              <w:t>Raisons pour les retards ou changements (s'il y en a)</w:t>
            </w:r>
          </w:p>
        </w:tc>
      </w:tr>
      <w:tr w:rsidR="001B58C7" w:rsidRPr="00ED3A8A" w14:paraId="328A7183" w14:textId="77777777">
        <w:trPr>
          <w:trHeight w:val="548"/>
        </w:trPr>
        <w:tc>
          <w:tcPr>
            <w:tcW w:w="2700" w:type="dxa"/>
          </w:tcPr>
          <w:p w14:paraId="5F27E3D6" w14:textId="77777777" w:rsidR="001B58C7" w:rsidRDefault="000F0E0E">
            <w:pPr>
              <w:spacing w:after="160" w:line="276" w:lineRule="auto"/>
              <w:rPr>
                <w:kern w:val="2"/>
                <w:sz w:val="22"/>
                <w:szCs w:val="22"/>
                <w:lang w:val="fr-FR" w:eastAsia="en-US"/>
              </w:rPr>
            </w:pPr>
            <w:r>
              <w:rPr>
                <w:b/>
                <w:kern w:val="2"/>
                <w:sz w:val="22"/>
                <w:szCs w:val="22"/>
                <w:lang w:val="fr-FR" w:eastAsia="en-US"/>
              </w:rPr>
              <w:t>Indicateur</w:t>
            </w:r>
            <w:r>
              <w:rPr>
                <w:kern w:val="2"/>
                <w:sz w:val="22"/>
                <w:szCs w:val="22"/>
                <w:lang w:val="fr-FR" w:eastAsia="en-US"/>
              </w:rPr>
              <w:t xml:space="preserve"> 1.2.1</w:t>
            </w:r>
          </w:p>
          <w:p w14:paraId="185C66B5" w14:textId="77777777" w:rsidR="001B58C7" w:rsidRPr="006B740B" w:rsidRDefault="000F0E0E">
            <w:pPr>
              <w:spacing w:after="160" w:line="276" w:lineRule="auto"/>
              <w:rPr>
                <w:bCs/>
                <w:kern w:val="2"/>
                <w:sz w:val="22"/>
                <w:szCs w:val="22"/>
                <w:lang w:val="fr-FR" w:eastAsia="en-US"/>
              </w:rPr>
            </w:pPr>
            <w:r w:rsidRPr="006B740B">
              <w:rPr>
                <w:bCs/>
                <w:kern w:val="2"/>
                <w:sz w:val="22"/>
                <w:szCs w:val="22"/>
                <w:lang w:val="fr-FR" w:eastAsia="en-US"/>
              </w:rPr>
              <w:t xml:space="preserve">Nombre de personnes sensibilisées sur la justice </w:t>
            </w:r>
            <w:r w:rsidRPr="006B740B">
              <w:rPr>
                <w:bCs/>
                <w:kern w:val="2"/>
                <w:sz w:val="22"/>
                <w:szCs w:val="22"/>
                <w:lang w:val="fr-FR" w:eastAsia="en-US"/>
              </w:rPr>
              <w:lastRenderedPageBreak/>
              <w:t>transitionnelle notamment dans les conclusions des consultations populaires nationales au KASAI.</w:t>
            </w:r>
          </w:p>
          <w:p w14:paraId="2BDCEFB1" w14:textId="77777777" w:rsidR="001B58C7" w:rsidRPr="006B740B" w:rsidRDefault="001B58C7">
            <w:pPr>
              <w:spacing w:after="160" w:line="276" w:lineRule="auto"/>
              <w:rPr>
                <w:kern w:val="2"/>
                <w:sz w:val="22"/>
                <w:szCs w:val="22"/>
                <w:lang w:val="fr-FR" w:eastAsia="en-US"/>
              </w:rPr>
            </w:pPr>
          </w:p>
        </w:tc>
        <w:tc>
          <w:tcPr>
            <w:tcW w:w="1139" w:type="dxa"/>
          </w:tcPr>
          <w:p w14:paraId="55E42D25" w14:textId="77777777" w:rsidR="001B58C7" w:rsidRPr="006B740B" w:rsidRDefault="001B58C7">
            <w:pPr>
              <w:spacing w:after="160" w:line="276" w:lineRule="auto"/>
              <w:rPr>
                <w:kern w:val="2"/>
                <w:sz w:val="22"/>
                <w:szCs w:val="22"/>
                <w:lang w:val="fr-FR"/>
              </w:rPr>
            </w:pPr>
          </w:p>
          <w:p w14:paraId="2DA4C819" w14:textId="77777777" w:rsidR="001B58C7" w:rsidRDefault="000F0E0E">
            <w:pPr>
              <w:spacing w:after="160" w:line="276" w:lineRule="auto"/>
              <w:rPr>
                <w:kern w:val="2"/>
                <w:sz w:val="22"/>
                <w:szCs w:val="22"/>
                <w:lang w:val="fr-FR" w:eastAsia="en-US"/>
              </w:rPr>
            </w:pPr>
            <w:r>
              <w:rPr>
                <w:kern w:val="2"/>
                <w:sz w:val="22"/>
                <w:szCs w:val="22"/>
                <w:lang w:val="fr-FR" w:eastAsia="en-US"/>
              </w:rPr>
              <w:t xml:space="preserve">2200 (dont </w:t>
            </w:r>
            <w:r>
              <w:rPr>
                <w:kern w:val="2"/>
                <w:sz w:val="22"/>
                <w:szCs w:val="22"/>
                <w:lang w:val="fr-FR" w:eastAsia="en-US"/>
              </w:rPr>
              <w:lastRenderedPageBreak/>
              <w:t>1100 femmes)</w:t>
            </w:r>
          </w:p>
        </w:tc>
        <w:tc>
          <w:tcPr>
            <w:tcW w:w="1417" w:type="dxa"/>
          </w:tcPr>
          <w:p w14:paraId="259D30E3" w14:textId="77777777" w:rsidR="001B58C7" w:rsidRDefault="001B58C7">
            <w:pPr>
              <w:spacing w:after="160" w:line="276" w:lineRule="auto"/>
              <w:rPr>
                <w:kern w:val="2"/>
                <w:sz w:val="22"/>
                <w:szCs w:val="22"/>
                <w:lang w:val="fr-FR"/>
              </w:rPr>
            </w:pPr>
          </w:p>
          <w:p w14:paraId="1A694B16" w14:textId="77777777" w:rsidR="001B58C7" w:rsidRDefault="000F0E0E">
            <w:pPr>
              <w:spacing w:after="160" w:line="276" w:lineRule="auto"/>
              <w:rPr>
                <w:kern w:val="2"/>
                <w:sz w:val="22"/>
                <w:szCs w:val="22"/>
                <w:lang w:val="fr-FR"/>
              </w:rPr>
            </w:pPr>
            <w:r>
              <w:rPr>
                <w:kern w:val="2"/>
                <w:sz w:val="22"/>
                <w:szCs w:val="22"/>
                <w:lang w:val="fr-FR"/>
              </w:rPr>
              <w:lastRenderedPageBreak/>
              <w:t>100 000 (dont 50 000 femmes)</w:t>
            </w:r>
          </w:p>
        </w:tc>
        <w:tc>
          <w:tcPr>
            <w:tcW w:w="1418" w:type="dxa"/>
          </w:tcPr>
          <w:p w14:paraId="54723D91" w14:textId="77777777" w:rsidR="001B58C7" w:rsidRDefault="000F0E0E">
            <w:pPr>
              <w:spacing w:after="160" w:line="276" w:lineRule="auto"/>
              <w:rPr>
                <w:b/>
                <w:bCs/>
                <w:kern w:val="2"/>
                <w:sz w:val="22"/>
                <w:szCs w:val="22"/>
                <w:lang w:val="fr-FR"/>
              </w:rPr>
            </w:pPr>
            <w:r>
              <w:rPr>
                <w:rFonts w:eastAsia="Constantia"/>
                <w:kern w:val="2"/>
                <w:sz w:val="22"/>
                <w:szCs w:val="22"/>
                <w:lang w:val="fr"/>
              </w:rPr>
              <w:lastRenderedPageBreak/>
              <w:t>60 personnes, soit 0.06%</w:t>
            </w:r>
          </w:p>
        </w:tc>
        <w:tc>
          <w:tcPr>
            <w:tcW w:w="1246" w:type="dxa"/>
          </w:tcPr>
          <w:p w14:paraId="3DB0D4D1" w14:textId="77777777" w:rsidR="001B58C7" w:rsidRDefault="000F0E0E">
            <w:pPr>
              <w:spacing w:after="160" w:line="276" w:lineRule="auto"/>
              <w:rPr>
                <w:kern w:val="2"/>
                <w:sz w:val="22"/>
                <w:szCs w:val="22"/>
                <w:lang w:val="fr-FR"/>
              </w:rPr>
            </w:pPr>
            <w:r>
              <w:rPr>
                <w:kern w:val="2"/>
                <w:sz w:val="22"/>
                <w:szCs w:val="22"/>
                <w:lang w:val="fr"/>
              </w:rPr>
              <w:t>60 personnes, soit 0.06%</w:t>
            </w:r>
          </w:p>
        </w:tc>
        <w:tc>
          <w:tcPr>
            <w:tcW w:w="2520" w:type="dxa"/>
          </w:tcPr>
          <w:p w14:paraId="43E13A68" w14:textId="77777777" w:rsidR="001B58C7" w:rsidRDefault="000F0E0E">
            <w:pPr>
              <w:spacing w:after="160" w:line="276" w:lineRule="auto"/>
              <w:rPr>
                <w:b/>
                <w:bCs/>
                <w:kern w:val="2"/>
                <w:sz w:val="22"/>
                <w:szCs w:val="22"/>
                <w:lang w:val="fr-FR" w:eastAsia="en-US"/>
              </w:rPr>
            </w:pPr>
            <w:r>
              <w:rPr>
                <w:rFonts w:eastAsia="Constantia"/>
                <w:kern w:val="2"/>
                <w:sz w:val="22"/>
                <w:szCs w:val="22"/>
                <w:lang w:val="fr-FR"/>
              </w:rPr>
              <w:t xml:space="preserve">La cartographie des médias qui contribueront à la campagne de </w:t>
            </w:r>
            <w:r>
              <w:rPr>
                <w:rFonts w:eastAsia="Constantia"/>
                <w:kern w:val="2"/>
                <w:sz w:val="22"/>
                <w:szCs w:val="22"/>
                <w:lang w:val="fr-FR"/>
              </w:rPr>
              <w:lastRenderedPageBreak/>
              <w:t>sensibilisation des masses afin d’atteindre la cible du projet est encore en cours.</w:t>
            </w:r>
          </w:p>
        </w:tc>
      </w:tr>
      <w:tr w:rsidR="001B58C7" w:rsidRPr="00ED3A8A" w14:paraId="73989014" w14:textId="77777777">
        <w:trPr>
          <w:trHeight w:val="548"/>
        </w:trPr>
        <w:tc>
          <w:tcPr>
            <w:tcW w:w="2700" w:type="dxa"/>
          </w:tcPr>
          <w:p w14:paraId="04317E3E" w14:textId="77777777" w:rsidR="001B58C7" w:rsidRDefault="000F0E0E">
            <w:pPr>
              <w:spacing w:after="160" w:line="276" w:lineRule="auto"/>
              <w:rPr>
                <w:kern w:val="2"/>
                <w:sz w:val="22"/>
                <w:szCs w:val="22"/>
                <w:lang w:val="fr-FR" w:eastAsia="en-US"/>
              </w:rPr>
            </w:pPr>
            <w:r>
              <w:rPr>
                <w:b/>
                <w:kern w:val="2"/>
                <w:sz w:val="22"/>
                <w:szCs w:val="22"/>
                <w:lang w:val="fr-FR" w:eastAsia="en-US"/>
              </w:rPr>
              <w:lastRenderedPageBreak/>
              <w:t>Indicateur</w:t>
            </w:r>
            <w:r>
              <w:rPr>
                <w:kern w:val="2"/>
                <w:sz w:val="22"/>
                <w:szCs w:val="22"/>
                <w:lang w:val="fr-FR" w:eastAsia="en-US"/>
              </w:rPr>
              <w:t xml:space="preserve"> 1.2.2</w:t>
            </w:r>
          </w:p>
          <w:p w14:paraId="79C4C738" w14:textId="77777777" w:rsidR="001B58C7" w:rsidRPr="006B740B" w:rsidRDefault="000F0E0E">
            <w:pPr>
              <w:spacing w:after="160" w:line="276" w:lineRule="auto"/>
              <w:rPr>
                <w:kern w:val="2"/>
                <w:sz w:val="22"/>
                <w:szCs w:val="22"/>
                <w:lang w:val="fr-FR" w:eastAsia="en-US"/>
              </w:rPr>
            </w:pPr>
            <w:r w:rsidRPr="006B740B">
              <w:rPr>
                <w:kern w:val="2"/>
                <w:sz w:val="22"/>
                <w:szCs w:val="22"/>
                <w:lang w:val="fr-FR" w:eastAsia="en-US"/>
              </w:rPr>
              <w:t>Le rapport final des   consultations nationales réalisées au Kasaï en mai 2022 est débattu et validé par les autorités locales et nationales, les chefs coutumiers, acteurs de la société civile, victimes de graves violations des droits de l’homme et du droit international humanitaire ainsi que les communautés locales.</w:t>
            </w:r>
          </w:p>
        </w:tc>
        <w:tc>
          <w:tcPr>
            <w:tcW w:w="1139" w:type="dxa"/>
          </w:tcPr>
          <w:p w14:paraId="0D1BA01D" w14:textId="77777777" w:rsidR="001B58C7" w:rsidRDefault="000F0E0E">
            <w:pPr>
              <w:spacing w:after="160" w:line="276" w:lineRule="auto"/>
              <w:rPr>
                <w:kern w:val="2"/>
                <w:sz w:val="22"/>
                <w:szCs w:val="22"/>
                <w:lang w:val="zh-CN"/>
              </w:rPr>
            </w:pPr>
            <w:r>
              <w:rPr>
                <w:kern w:val="2"/>
                <w:sz w:val="22"/>
                <w:szCs w:val="22"/>
                <w:lang w:val="zh-CN"/>
              </w:rPr>
              <w:t>00</w:t>
            </w:r>
          </w:p>
          <w:p w14:paraId="77DA3A3F" w14:textId="77777777" w:rsidR="001B58C7" w:rsidRDefault="001B58C7">
            <w:pPr>
              <w:spacing w:after="160" w:line="276" w:lineRule="auto"/>
              <w:rPr>
                <w:kern w:val="2"/>
                <w:sz w:val="22"/>
                <w:szCs w:val="22"/>
                <w:lang w:val="fr-FR" w:eastAsia="en-US"/>
              </w:rPr>
            </w:pPr>
          </w:p>
        </w:tc>
        <w:tc>
          <w:tcPr>
            <w:tcW w:w="1417" w:type="dxa"/>
          </w:tcPr>
          <w:p w14:paraId="09F96832" w14:textId="77777777" w:rsidR="001B58C7" w:rsidRDefault="000F0E0E">
            <w:pPr>
              <w:spacing w:after="160" w:line="276" w:lineRule="auto"/>
              <w:rPr>
                <w:kern w:val="2"/>
                <w:sz w:val="22"/>
                <w:szCs w:val="22"/>
                <w:lang w:val="fr-FR"/>
              </w:rPr>
            </w:pPr>
            <w:r>
              <w:rPr>
                <w:kern w:val="2"/>
                <w:sz w:val="22"/>
                <w:szCs w:val="22"/>
                <w:lang w:val="fr-FR"/>
              </w:rPr>
              <w:t>01</w:t>
            </w:r>
          </w:p>
        </w:tc>
        <w:tc>
          <w:tcPr>
            <w:tcW w:w="1418" w:type="dxa"/>
          </w:tcPr>
          <w:p w14:paraId="401EE975" w14:textId="77777777" w:rsidR="001B58C7" w:rsidRDefault="000F0E0E">
            <w:pPr>
              <w:spacing w:after="160" w:line="276" w:lineRule="auto"/>
              <w:rPr>
                <w:kern w:val="2"/>
                <w:sz w:val="22"/>
                <w:szCs w:val="22"/>
                <w:lang w:val="fr-FR"/>
              </w:rPr>
            </w:pPr>
            <w:r>
              <w:rPr>
                <w:rFonts w:eastAsia="Constantia"/>
                <w:kern w:val="2"/>
                <w:sz w:val="22"/>
                <w:szCs w:val="22"/>
                <w:lang w:val="fr"/>
              </w:rPr>
              <w:t>100%</w:t>
            </w:r>
          </w:p>
        </w:tc>
        <w:tc>
          <w:tcPr>
            <w:tcW w:w="1246" w:type="dxa"/>
          </w:tcPr>
          <w:p w14:paraId="7CEEF62E" w14:textId="77777777" w:rsidR="001B58C7" w:rsidRDefault="000F0E0E">
            <w:pPr>
              <w:spacing w:after="160" w:line="276" w:lineRule="auto"/>
              <w:rPr>
                <w:kern w:val="2"/>
                <w:sz w:val="22"/>
                <w:szCs w:val="22"/>
                <w:lang w:val="fr-FR"/>
              </w:rPr>
            </w:pPr>
            <w:r>
              <w:rPr>
                <w:kern w:val="2"/>
                <w:sz w:val="22"/>
                <w:szCs w:val="22"/>
                <w:lang w:val="fr-FR"/>
              </w:rPr>
              <w:t>100%</w:t>
            </w:r>
          </w:p>
        </w:tc>
        <w:tc>
          <w:tcPr>
            <w:tcW w:w="2520" w:type="dxa"/>
          </w:tcPr>
          <w:p w14:paraId="76674A41" w14:textId="77777777" w:rsidR="001B58C7" w:rsidRDefault="000F0E0E">
            <w:pPr>
              <w:spacing w:after="160" w:line="276" w:lineRule="auto"/>
              <w:rPr>
                <w:rFonts w:eastAsia="Constantia"/>
                <w:kern w:val="2"/>
                <w:sz w:val="22"/>
                <w:szCs w:val="22"/>
                <w:lang w:val="fr-FR"/>
              </w:rPr>
            </w:pPr>
            <w:r>
              <w:rPr>
                <w:rFonts w:eastAsia="Constantia"/>
                <w:kern w:val="2"/>
                <w:sz w:val="22"/>
                <w:szCs w:val="22"/>
                <w:lang w:val="fr-FR"/>
              </w:rPr>
              <w:t xml:space="preserve">Rapport débattu et </w:t>
            </w:r>
            <w:proofErr w:type="gramStart"/>
            <w:r>
              <w:rPr>
                <w:rFonts w:eastAsia="Constantia"/>
                <w:kern w:val="2"/>
                <w:sz w:val="22"/>
                <w:szCs w:val="22"/>
                <w:lang w:val="fr-FR"/>
              </w:rPr>
              <w:t>validé ,</w:t>
            </w:r>
            <w:proofErr w:type="gramEnd"/>
            <w:r>
              <w:rPr>
                <w:rFonts w:eastAsia="Constantia"/>
                <w:kern w:val="2"/>
                <w:sz w:val="22"/>
                <w:szCs w:val="22"/>
                <w:lang w:val="fr-FR"/>
              </w:rPr>
              <w:t xml:space="preserve"> mais non encore publié au niveau provincial au KASAI et national, en RDC.</w:t>
            </w:r>
          </w:p>
        </w:tc>
      </w:tr>
    </w:tbl>
    <w:p w14:paraId="3EDC41D5" w14:textId="77777777" w:rsidR="001B58C7" w:rsidRDefault="001B58C7">
      <w:pPr>
        <w:ind w:left="-720"/>
        <w:rPr>
          <w:b/>
          <w:u w:val="single"/>
          <w:lang w:val="fr-FR"/>
        </w:rPr>
      </w:pPr>
    </w:p>
    <w:p w14:paraId="22D657E1" w14:textId="77777777" w:rsidR="001B58C7" w:rsidRPr="006B740B" w:rsidRDefault="000F0E0E">
      <w:pPr>
        <w:ind w:left="-450"/>
        <w:jc w:val="both"/>
        <w:rPr>
          <w:b/>
          <w:lang w:val="fr-FR"/>
        </w:rPr>
      </w:pPr>
      <w:r>
        <w:rPr>
          <w:b/>
          <w:u w:val="single"/>
          <w:lang w:val="fr-FR"/>
        </w:rPr>
        <w:t xml:space="preserve">Résultat 2 </w:t>
      </w:r>
      <w:r w:rsidRPr="006B740B">
        <w:rPr>
          <w:b/>
          <w:u w:val="single"/>
          <w:lang w:val="fr-FR"/>
        </w:rPr>
        <w:t>:</w:t>
      </w:r>
      <w:r w:rsidRPr="006B740B">
        <w:rPr>
          <w:b/>
          <w:lang w:val="fr-FR"/>
        </w:rPr>
        <w:t xml:space="preserve">  Les principes fondamentaux de l’État de droit sont réaffirmés et la lutte contre l’impunité est améliorée à travers le renforcement de l’offre et de la demande de justice. </w:t>
      </w:r>
    </w:p>
    <w:p w14:paraId="13F621DE" w14:textId="77777777" w:rsidR="001B58C7" w:rsidRDefault="001B58C7">
      <w:pPr>
        <w:jc w:val="both"/>
        <w:rPr>
          <w:b/>
          <w:lang w:val="fr-FR"/>
        </w:rPr>
      </w:pPr>
    </w:p>
    <w:tbl>
      <w:tblPr>
        <w:tblW w:w="10440" w:type="dxa"/>
        <w:tblInd w:w="-7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10"/>
        <w:gridCol w:w="900"/>
        <w:gridCol w:w="1440"/>
        <w:gridCol w:w="1440"/>
        <w:gridCol w:w="1440"/>
        <w:gridCol w:w="2610"/>
      </w:tblGrid>
      <w:tr w:rsidR="001B58C7" w:rsidRPr="00ED3A8A" w14:paraId="0521F50C" w14:textId="77777777">
        <w:trPr>
          <w:trHeight w:val="300"/>
          <w:tblHeader/>
        </w:trPr>
        <w:tc>
          <w:tcPr>
            <w:tcW w:w="2610" w:type="dxa"/>
            <w:shd w:val="clear" w:color="auto" w:fill="EEECE1"/>
          </w:tcPr>
          <w:p w14:paraId="647DEDEE" w14:textId="77777777" w:rsidR="001B58C7" w:rsidRDefault="000F0E0E">
            <w:pPr>
              <w:spacing w:after="160" w:line="276" w:lineRule="auto"/>
              <w:rPr>
                <w:b/>
                <w:kern w:val="2"/>
                <w:sz w:val="22"/>
                <w:szCs w:val="22"/>
                <w:lang w:val="fr-FR" w:eastAsia="en-US"/>
              </w:rPr>
            </w:pPr>
            <w:r>
              <w:rPr>
                <w:b/>
                <w:kern w:val="2"/>
                <w:sz w:val="22"/>
                <w:szCs w:val="22"/>
                <w:lang w:val="fr-FR" w:eastAsia="en-US"/>
              </w:rPr>
              <w:t>Indicateurs de résultat</w:t>
            </w:r>
          </w:p>
        </w:tc>
        <w:tc>
          <w:tcPr>
            <w:tcW w:w="900" w:type="dxa"/>
            <w:shd w:val="clear" w:color="auto" w:fill="EEECE1"/>
          </w:tcPr>
          <w:p w14:paraId="4E1DAAB6" w14:textId="77777777" w:rsidR="001B58C7" w:rsidRDefault="000F0E0E">
            <w:pPr>
              <w:spacing w:after="160" w:line="276" w:lineRule="auto"/>
              <w:rPr>
                <w:b/>
                <w:kern w:val="2"/>
                <w:sz w:val="22"/>
                <w:szCs w:val="22"/>
                <w:lang w:val="fr-FR" w:eastAsia="en-US"/>
              </w:rPr>
            </w:pPr>
            <w:r>
              <w:rPr>
                <w:b/>
                <w:kern w:val="2"/>
                <w:sz w:val="22"/>
                <w:szCs w:val="22"/>
                <w:lang w:val="fr-FR"/>
              </w:rPr>
              <w:t>Indicateur de base</w:t>
            </w:r>
          </w:p>
        </w:tc>
        <w:tc>
          <w:tcPr>
            <w:tcW w:w="1440" w:type="dxa"/>
            <w:shd w:val="clear" w:color="auto" w:fill="EEECE1"/>
          </w:tcPr>
          <w:p w14:paraId="632AED7E" w14:textId="77777777" w:rsidR="001B58C7" w:rsidRDefault="000F0E0E">
            <w:pPr>
              <w:spacing w:after="160" w:line="276" w:lineRule="auto"/>
              <w:rPr>
                <w:b/>
                <w:kern w:val="2"/>
                <w:sz w:val="22"/>
                <w:szCs w:val="22"/>
                <w:lang w:val="fr-FR" w:eastAsia="en-US"/>
              </w:rPr>
            </w:pPr>
            <w:r>
              <w:rPr>
                <w:b/>
                <w:kern w:val="2"/>
                <w:sz w:val="22"/>
                <w:szCs w:val="22"/>
                <w:lang w:val="fr-FR" w:eastAsia="en-US"/>
              </w:rPr>
              <w:t>Cible de fin de projet</w:t>
            </w:r>
          </w:p>
        </w:tc>
        <w:tc>
          <w:tcPr>
            <w:tcW w:w="1440" w:type="dxa"/>
          </w:tcPr>
          <w:p w14:paraId="00E5F1C4" w14:textId="77777777" w:rsidR="001B58C7" w:rsidRDefault="000F0E0E">
            <w:pPr>
              <w:spacing w:after="160" w:line="276" w:lineRule="auto"/>
              <w:rPr>
                <w:b/>
                <w:bCs/>
                <w:kern w:val="2"/>
                <w:sz w:val="22"/>
                <w:szCs w:val="22"/>
                <w:lang w:val="fr-FR" w:eastAsia="en-US"/>
              </w:rPr>
            </w:pPr>
            <w:r>
              <w:rPr>
                <w:b/>
                <w:bCs/>
                <w:kern w:val="2"/>
                <w:sz w:val="22"/>
                <w:szCs w:val="22"/>
                <w:lang w:val="fr-FR" w:eastAsia="en-US"/>
              </w:rPr>
              <w:t>Progrès de l’indicateur pour la période de référence</w:t>
            </w:r>
          </w:p>
        </w:tc>
        <w:tc>
          <w:tcPr>
            <w:tcW w:w="1440" w:type="dxa"/>
          </w:tcPr>
          <w:p w14:paraId="10788A67" w14:textId="77777777" w:rsidR="001B58C7" w:rsidRDefault="000F0E0E">
            <w:pPr>
              <w:spacing w:after="160" w:line="276" w:lineRule="auto"/>
              <w:rPr>
                <w:b/>
                <w:bCs/>
                <w:kern w:val="2"/>
                <w:sz w:val="22"/>
                <w:szCs w:val="22"/>
                <w:lang w:val="fr-FR" w:eastAsia="en-US"/>
              </w:rPr>
            </w:pPr>
            <w:r>
              <w:rPr>
                <w:b/>
                <w:bCs/>
                <w:kern w:val="2"/>
                <w:sz w:val="22"/>
                <w:szCs w:val="22"/>
                <w:lang w:val="fr-FR" w:eastAsia="en-US"/>
              </w:rPr>
              <w:t>Progrès de l’indicateur depuis le début du projet</w:t>
            </w:r>
          </w:p>
        </w:tc>
        <w:tc>
          <w:tcPr>
            <w:tcW w:w="2610" w:type="dxa"/>
          </w:tcPr>
          <w:p w14:paraId="7B624C9C" w14:textId="77777777" w:rsidR="001B58C7" w:rsidRDefault="000F0E0E">
            <w:pPr>
              <w:spacing w:after="160" w:line="276" w:lineRule="auto"/>
              <w:rPr>
                <w:b/>
                <w:kern w:val="2"/>
                <w:sz w:val="22"/>
                <w:szCs w:val="22"/>
                <w:lang w:val="fr-FR" w:eastAsia="en-US"/>
              </w:rPr>
            </w:pPr>
            <w:r>
              <w:rPr>
                <w:b/>
                <w:kern w:val="2"/>
                <w:sz w:val="22"/>
                <w:szCs w:val="22"/>
                <w:lang w:val="fr-FR" w:eastAsia="en-US"/>
              </w:rPr>
              <w:t>Raisons pour les retards ou changements (s'il y en a)</w:t>
            </w:r>
          </w:p>
        </w:tc>
      </w:tr>
      <w:tr w:rsidR="001B58C7" w:rsidRPr="00ED3A8A" w14:paraId="48575321" w14:textId="77777777">
        <w:trPr>
          <w:trHeight w:val="300"/>
        </w:trPr>
        <w:tc>
          <w:tcPr>
            <w:tcW w:w="2610" w:type="dxa"/>
            <w:shd w:val="clear" w:color="auto" w:fill="EEECE1"/>
          </w:tcPr>
          <w:p w14:paraId="02C28CAE" w14:textId="77777777" w:rsidR="001B58C7" w:rsidRDefault="000F0E0E">
            <w:pPr>
              <w:spacing w:after="160" w:line="276" w:lineRule="auto"/>
              <w:rPr>
                <w:kern w:val="2"/>
                <w:sz w:val="22"/>
                <w:szCs w:val="22"/>
                <w:lang w:val="fr-FR" w:eastAsia="en-US"/>
              </w:rPr>
            </w:pPr>
            <w:r>
              <w:rPr>
                <w:b/>
                <w:kern w:val="2"/>
                <w:sz w:val="22"/>
                <w:szCs w:val="22"/>
                <w:lang w:val="fr-FR" w:eastAsia="en-US"/>
              </w:rPr>
              <w:t>Indicateur</w:t>
            </w:r>
            <w:r>
              <w:rPr>
                <w:kern w:val="2"/>
                <w:sz w:val="22"/>
                <w:szCs w:val="22"/>
                <w:lang w:val="fr-FR" w:eastAsia="en-US"/>
              </w:rPr>
              <w:t xml:space="preserve"> </w:t>
            </w:r>
            <w:r>
              <w:rPr>
                <w:b/>
                <w:bCs/>
                <w:kern w:val="2"/>
                <w:sz w:val="22"/>
                <w:szCs w:val="22"/>
                <w:lang w:val="fr-FR" w:eastAsia="en-US"/>
              </w:rPr>
              <w:t>2.1</w:t>
            </w:r>
          </w:p>
          <w:p w14:paraId="7C9B8EFA" w14:textId="77777777" w:rsidR="001B58C7" w:rsidRPr="006B740B" w:rsidRDefault="000F0E0E">
            <w:pPr>
              <w:spacing w:after="160" w:line="276" w:lineRule="auto"/>
              <w:rPr>
                <w:bCs/>
                <w:kern w:val="2"/>
                <w:sz w:val="22"/>
                <w:szCs w:val="22"/>
                <w:lang w:val="fr-FR" w:eastAsia="en-US"/>
              </w:rPr>
            </w:pPr>
            <w:r w:rsidRPr="006B740B">
              <w:rPr>
                <w:bCs/>
                <w:kern w:val="2"/>
                <w:sz w:val="22"/>
                <w:szCs w:val="22"/>
                <w:lang w:val="fr-FR" w:eastAsia="en-US"/>
              </w:rPr>
              <w:t>% de la population ayant confiance dans les institutions judiciaires (désagrégé par sexe).</w:t>
            </w:r>
          </w:p>
          <w:p w14:paraId="76C90D9F" w14:textId="77777777" w:rsidR="001B58C7" w:rsidRPr="006B740B" w:rsidRDefault="001B58C7">
            <w:pPr>
              <w:spacing w:after="160" w:line="276" w:lineRule="auto"/>
              <w:rPr>
                <w:kern w:val="2"/>
                <w:sz w:val="22"/>
                <w:szCs w:val="22"/>
                <w:lang w:val="fr-FR" w:eastAsia="en-US"/>
              </w:rPr>
            </w:pPr>
          </w:p>
        </w:tc>
        <w:tc>
          <w:tcPr>
            <w:tcW w:w="900" w:type="dxa"/>
            <w:shd w:val="clear" w:color="auto" w:fill="EEECE1"/>
          </w:tcPr>
          <w:p w14:paraId="1A1C86D3" w14:textId="77777777" w:rsidR="001B58C7" w:rsidRDefault="000F0E0E">
            <w:pPr>
              <w:spacing w:after="160" w:line="276" w:lineRule="auto"/>
              <w:rPr>
                <w:kern w:val="2"/>
                <w:sz w:val="22"/>
                <w:szCs w:val="22"/>
                <w:lang w:val="fr-FR" w:eastAsia="en-US"/>
              </w:rPr>
            </w:pPr>
            <w:r>
              <w:rPr>
                <w:b/>
                <w:kern w:val="2"/>
                <w:sz w:val="22"/>
                <w:szCs w:val="22"/>
                <w:lang w:val="fr-FR" w:eastAsia="en-US"/>
              </w:rPr>
              <w:t>30 %</w:t>
            </w:r>
          </w:p>
        </w:tc>
        <w:tc>
          <w:tcPr>
            <w:tcW w:w="1440" w:type="dxa"/>
            <w:shd w:val="clear" w:color="auto" w:fill="EEECE1"/>
          </w:tcPr>
          <w:p w14:paraId="536CFC15" w14:textId="77777777" w:rsidR="001B58C7" w:rsidRPr="006B740B" w:rsidRDefault="000F0E0E">
            <w:pPr>
              <w:spacing w:after="160" w:line="276" w:lineRule="auto"/>
              <w:rPr>
                <w:kern w:val="2"/>
                <w:sz w:val="22"/>
                <w:szCs w:val="22"/>
                <w:lang w:val="fr-FR"/>
              </w:rPr>
            </w:pPr>
            <w:r>
              <w:rPr>
                <w:b/>
                <w:kern w:val="2"/>
                <w:sz w:val="22"/>
                <w:szCs w:val="22"/>
                <w:lang w:val="fr-FR" w:eastAsia="en-US"/>
              </w:rPr>
              <w:t>50 % (</w:t>
            </w:r>
            <w:r>
              <w:rPr>
                <w:bCs/>
                <w:kern w:val="2"/>
                <w:sz w:val="22"/>
                <w:szCs w:val="22"/>
                <w:lang w:val="fr-FR" w:eastAsia="en-US"/>
              </w:rPr>
              <w:t xml:space="preserve">25 </w:t>
            </w:r>
            <w:r w:rsidRPr="006B740B">
              <w:rPr>
                <w:bCs/>
                <w:kern w:val="2"/>
                <w:sz w:val="22"/>
                <w:szCs w:val="22"/>
                <w:lang w:val="fr-FR" w:eastAsia="en-US"/>
              </w:rPr>
              <w:t>dont 25% des répondantes féminins et 25% des répondants masculins)</w:t>
            </w:r>
            <w:r>
              <w:rPr>
                <w:rStyle w:val="Appelnotedebasdep"/>
                <w:bCs/>
                <w:kern w:val="2"/>
                <w:sz w:val="22"/>
                <w:szCs w:val="22"/>
                <w:lang w:val="zh-CN" w:eastAsia="en-US"/>
              </w:rPr>
              <w:footnoteReference w:id="1"/>
            </w:r>
            <w:r w:rsidRPr="006B740B">
              <w:rPr>
                <w:bCs/>
                <w:kern w:val="2"/>
                <w:sz w:val="22"/>
                <w:szCs w:val="22"/>
                <w:lang w:val="fr-FR" w:eastAsia="en-US"/>
              </w:rPr>
              <w:t>.</w:t>
            </w:r>
          </w:p>
        </w:tc>
        <w:tc>
          <w:tcPr>
            <w:tcW w:w="1440" w:type="dxa"/>
          </w:tcPr>
          <w:p w14:paraId="170F8AA6" w14:textId="77777777" w:rsidR="001B58C7" w:rsidRDefault="000F0E0E">
            <w:pPr>
              <w:spacing w:after="160" w:line="276" w:lineRule="auto"/>
              <w:rPr>
                <w:kern w:val="2"/>
                <w:sz w:val="22"/>
                <w:szCs w:val="22"/>
                <w:lang w:val="zh-CN" w:eastAsia="en-US"/>
              </w:rPr>
            </w:pPr>
            <w:r>
              <w:rPr>
                <w:kern w:val="2"/>
                <w:sz w:val="22"/>
                <w:szCs w:val="22"/>
                <w:lang w:val="zh-CN" w:eastAsia="en-US"/>
              </w:rPr>
              <w:t>n/a</w:t>
            </w:r>
          </w:p>
          <w:p w14:paraId="4A46ADB0" w14:textId="77777777" w:rsidR="001B58C7" w:rsidRDefault="001B58C7">
            <w:pPr>
              <w:spacing w:after="160" w:line="276" w:lineRule="auto"/>
              <w:rPr>
                <w:kern w:val="2"/>
                <w:sz w:val="22"/>
                <w:szCs w:val="22"/>
                <w:lang w:val="zh-CN" w:eastAsia="en-US"/>
              </w:rPr>
            </w:pPr>
          </w:p>
        </w:tc>
        <w:tc>
          <w:tcPr>
            <w:tcW w:w="1440" w:type="dxa"/>
          </w:tcPr>
          <w:p w14:paraId="1482194C" w14:textId="77777777" w:rsidR="001B58C7" w:rsidRDefault="000F0E0E">
            <w:pPr>
              <w:spacing w:after="160" w:line="276" w:lineRule="auto"/>
              <w:rPr>
                <w:kern w:val="2"/>
                <w:sz w:val="22"/>
                <w:szCs w:val="22"/>
                <w:lang w:val="fr-FR"/>
              </w:rPr>
            </w:pPr>
            <w:proofErr w:type="gramStart"/>
            <w:r>
              <w:rPr>
                <w:kern w:val="2"/>
                <w:sz w:val="22"/>
                <w:szCs w:val="22"/>
                <w:lang w:val="fr-FR" w:eastAsia="en-US"/>
              </w:rPr>
              <w:t>n</w:t>
            </w:r>
            <w:proofErr w:type="gramEnd"/>
            <w:r>
              <w:rPr>
                <w:kern w:val="2"/>
                <w:sz w:val="22"/>
                <w:szCs w:val="22"/>
                <w:lang w:val="fr-FR" w:eastAsia="en-US"/>
              </w:rPr>
              <w:t>/a</w:t>
            </w:r>
          </w:p>
        </w:tc>
        <w:tc>
          <w:tcPr>
            <w:tcW w:w="2610" w:type="dxa"/>
          </w:tcPr>
          <w:p w14:paraId="5E1142B6" w14:textId="77777777" w:rsidR="001B58C7" w:rsidRDefault="000F0E0E">
            <w:pPr>
              <w:spacing w:after="160" w:line="276" w:lineRule="auto"/>
              <w:rPr>
                <w:kern w:val="2"/>
                <w:sz w:val="22"/>
                <w:szCs w:val="22"/>
                <w:lang w:val="fr-FR" w:eastAsia="en-US"/>
              </w:rPr>
            </w:pPr>
            <w:r w:rsidRPr="006B740B">
              <w:rPr>
                <w:kern w:val="2"/>
                <w:sz w:val="22"/>
                <w:szCs w:val="22"/>
                <w:lang w:val="fr-FR" w:eastAsia="en-US"/>
              </w:rPr>
              <w:t xml:space="preserve">Activités pas encore lancées </w:t>
            </w:r>
            <w:r>
              <w:rPr>
                <w:kern w:val="2"/>
                <w:sz w:val="22"/>
                <w:szCs w:val="22"/>
                <w:lang w:val="fr-FR" w:eastAsia="en-US"/>
              </w:rPr>
              <w:t>(étude de perception et/ou sondage d’opinion).</w:t>
            </w:r>
          </w:p>
          <w:p w14:paraId="5739329B" w14:textId="77777777" w:rsidR="001B58C7" w:rsidRDefault="001B58C7">
            <w:pPr>
              <w:spacing w:after="160" w:line="276" w:lineRule="auto"/>
              <w:rPr>
                <w:kern w:val="2"/>
                <w:sz w:val="22"/>
                <w:szCs w:val="22"/>
                <w:lang w:val="fr-FR"/>
              </w:rPr>
            </w:pPr>
          </w:p>
        </w:tc>
      </w:tr>
      <w:tr w:rsidR="001B58C7" w:rsidRPr="00ED3A8A" w14:paraId="59B6F2D3" w14:textId="77777777">
        <w:trPr>
          <w:trHeight w:val="300"/>
        </w:trPr>
        <w:tc>
          <w:tcPr>
            <w:tcW w:w="2610" w:type="dxa"/>
            <w:shd w:val="clear" w:color="auto" w:fill="EEECE1"/>
          </w:tcPr>
          <w:p w14:paraId="591CE544" w14:textId="77777777" w:rsidR="001B58C7" w:rsidRDefault="000F0E0E">
            <w:pPr>
              <w:spacing w:after="160" w:line="276" w:lineRule="auto"/>
              <w:rPr>
                <w:kern w:val="2"/>
                <w:sz w:val="22"/>
                <w:szCs w:val="22"/>
                <w:lang w:val="fr-FR" w:eastAsia="en-US"/>
              </w:rPr>
            </w:pPr>
            <w:r>
              <w:rPr>
                <w:b/>
                <w:kern w:val="2"/>
                <w:sz w:val="22"/>
                <w:szCs w:val="22"/>
                <w:lang w:val="fr-FR" w:eastAsia="en-US"/>
              </w:rPr>
              <w:t>Indicateur</w:t>
            </w:r>
            <w:r>
              <w:rPr>
                <w:kern w:val="2"/>
                <w:sz w:val="22"/>
                <w:szCs w:val="22"/>
                <w:lang w:val="fr-FR" w:eastAsia="en-US"/>
              </w:rPr>
              <w:t xml:space="preserve"> </w:t>
            </w:r>
            <w:r>
              <w:rPr>
                <w:b/>
                <w:bCs/>
                <w:kern w:val="2"/>
                <w:sz w:val="22"/>
                <w:szCs w:val="22"/>
                <w:lang w:val="fr-FR" w:eastAsia="en-US"/>
              </w:rPr>
              <w:t>2.2</w:t>
            </w:r>
          </w:p>
          <w:p w14:paraId="44943818" w14:textId="77777777" w:rsidR="001B58C7" w:rsidRPr="006B740B" w:rsidRDefault="000F0E0E">
            <w:pPr>
              <w:spacing w:after="160" w:line="276" w:lineRule="auto"/>
              <w:rPr>
                <w:bCs/>
                <w:kern w:val="2"/>
                <w:sz w:val="22"/>
                <w:szCs w:val="22"/>
                <w:lang w:val="fr-FR" w:eastAsia="en-US"/>
              </w:rPr>
            </w:pPr>
            <w:r w:rsidRPr="006B740B">
              <w:rPr>
                <w:bCs/>
                <w:i/>
                <w:iCs/>
                <w:kern w:val="2"/>
                <w:sz w:val="22"/>
                <w:szCs w:val="22"/>
                <w:lang w:val="fr-FR" w:eastAsia="en-US"/>
              </w:rPr>
              <w:lastRenderedPageBreak/>
              <w:t xml:space="preserve">% </w:t>
            </w:r>
            <w:r w:rsidRPr="006B740B">
              <w:rPr>
                <w:bCs/>
                <w:kern w:val="2"/>
                <w:sz w:val="22"/>
                <w:szCs w:val="22"/>
                <w:lang w:val="fr-FR" w:eastAsia="en-US"/>
              </w:rPr>
              <w:t>de la population ayant recours à la justice formelle pour résoudre leurs conflits.</w:t>
            </w:r>
          </w:p>
          <w:p w14:paraId="0538DB1F" w14:textId="77777777" w:rsidR="001B58C7" w:rsidRPr="006B740B" w:rsidRDefault="001B58C7">
            <w:pPr>
              <w:spacing w:after="160" w:line="276" w:lineRule="auto"/>
              <w:rPr>
                <w:kern w:val="2"/>
                <w:sz w:val="22"/>
                <w:szCs w:val="22"/>
                <w:lang w:val="fr-FR" w:eastAsia="en-US"/>
              </w:rPr>
            </w:pPr>
          </w:p>
        </w:tc>
        <w:tc>
          <w:tcPr>
            <w:tcW w:w="900" w:type="dxa"/>
            <w:shd w:val="clear" w:color="auto" w:fill="EEECE1"/>
          </w:tcPr>
          <w:p w14:paraId="713AE50A" w14:textId="77777777" w:rsidR="001B58C7" w:rsidRDefault="000F0E0E">
            <w:pPr>
              <w:spacing w:after="160" w:line="276" w:lineRule="auto"/>
              <w:rPr>
                <w:kern w:val="2"/>
                <w:sz w:val="22"/>
                <w:szCs w:val="22"/>
                <w:lang w:val="fr-FR"/>
              </w:rPr>
            </w:pPr>
            <w:r>
              <w:rPr>
                <w:b/>
                <w:kern w:val="2"/>
                <w:sz w:val="22"/>
                <w:szCs w:val="22"/>
                <w:lang w:val="fr-FR" w:eastAsia="en-US"/>
              </w:rPr>
              <w:lastRenderedPageBreak/>
              <w:t>25 %</w:t>
            </w:r>
          </w:p>
        </w:tc>
        <w:tc>
          <w:tcPr>
            <w:tcW w:w="1440" w:type="dxa"/>
            <w:shd w:val="clear" w:color="auto" w:fill="EEECE1"/>
          </w:tcPr>
          <w:p w14:paraId="7B7193FC" w14:textId="77777777" w:rsidR="001B58C7" w:rsidRPr="006B740B" w:rsidRDefault="000F0E0E">
            <w:pPr>
              <w:spacing w:after="160" w:line="276" w:lineRule="auto"/>
              <w:rPr>
                <w:kern w:val="2"/>
                <w:sz w:val="22"/>
                <w:szCs w:val="22"/>
                <w:lang w:val="fr-FR"/>
              </w:rPr>
            </w:pPr>
            <w:r>
              <w:rPr>
                <w:b/>
                <w:kern w:val="2"/>
                <w:sz w:val="22"/>
                <w:szCs w:val="22"/>
                <w:lang w:val="fr-FR" w:eastAsia="en-US"/>
              </w:rPr>
              <w:t xml:space="preserve">50 % </w:t>
            </w:r>
            <w:r>
              <w:rPr>
                <w:bCs/>
                <w:kern w:val="2"/>
                <w:sz w:val="22"/>
                <w:szCs w:val="22"/>
                <w:lang w:val="fr-FR" w:eastAsia="en-US"/>
              </w:rPr>
              <w:t>(</w:t>
            </w:r>
            <w:r w:rsidRPr="006B740B">
              <w:rPr>
                <w:bCs/>
                <w:kern w:val="2"/>
                <w:sz w:val="22"/>
                <w:szCs w:val="22"/>
                <w:lang w:val="fr-FR" w:eastAsia="en-US"/>
              </w:rPr>
              <w:t xml:space="preserve">dont 25% des </w:t>
            </w:r>
            <w:r w:rsidRPr="006B740B">
              <w:rPr>
                <w:bCs/>
                <w:kern w:val="2"/>
                <w:sz w:val="22"/>
                <w:szCs w:val="22"/>
                <w:lang w:val="fr-FR" w:eastAsia="en-US"/>
              </w:rPr>
              <w:lastRenderedPageBreak/>
              <w:t>répondants féminins et 25% des répondants masculins)</w:t>
            </w:r>
          </w:p>
        </w:tc>
        <w:tc>
          <w:tcPr>
            <w:tcW w:w="1440" w:type="dxa"/>
          </w:tcPr>
          <w:p w14:paraId="4F47255B" w14:textId="77777777" w:rsidR="001B58C7" w:rsidRDefault="000F0E0E">
            <w:pPr>
              <w:spacing w:after="160" w:line="276" w:lineRule="auto"/>
              <w:rPr>
                <w:kern w:val="2"/>
                <w:sz w:val="22"/>
                <w:szCs w:val="22"/>
                <w:lang w:val="fr-FR" w:eastAsia="en-US"/>
              </w:rPr>
            </w:pPr>
            <w:proofErr w:type="gramStart"/>
            <w:r>
              <w:rPr>
                <w:kern w:val="2"/>
                <w:sz w:val="22"/>
                <w:szCs w:val="22"/>
                <w:lang w:val="fr-FR" w:eastAsia="en-US"/>
              </w:rPr>
              <w:lastRenderedPageBreak/>
              <w:t>n</w:t>
            </w:r>
            <w:proofErr w:type="gramEnd"/>
            <w:r>
              <w:rPr>
                <w:kern w:val="2"/>
                <w:sz w:val="22"/>
                <w:szCs w:val="22"/>
                <w:lang w:val="fr-FR" w:eastAsia="en-US"/>
              </w:rPr>
              <w:t>/a</w:t>
            </w:r>
          </w:p>
        </w:tc>
        <w:tc>
          <w:tcPr>
            <w:tcW w:w="1440" w:type="dxa"/>
          </w:tcPr>
          <w:p w14:paraId="7770E2CE" w14:textId="77777777" w:rsidR="001B58C7" w:rsidRDefault="000F0E0E">
            <w:pPr>
              <w:spacing w:after="160" w:line="276" w:lineRule="auto"/>
              <w:rPr>
                <w:kern w:val="2"/>
                <w:sz w:val="22"/>
                <w:szCs w:val="22"/>
                <w:lang w:val="fr-FR"/>
              </w:rPr>
            </w:pPr>
            <w:proofErr w:type="gramStart"/>
            <w:r>
              <w:rPr>
                <w:kern w:val="2"/>
                <w:sz w:val="22"/>
                <w:szCs w:val="22"/>
                <w:lang w:val="fr-FR" w:eastAsia="en-US"/>
              </w:rPr>
              <w:t>n</w:t>
            </w:r>
            <w:proofErr w:type="gramEnd"/>
            <w:r>
              <w:rPr>
                <w:kern w:val="2"/>
                <w:sz w:val="22"/>
                <w:szCs w:val="22"/>
                <w:lang w:val="fr-FR" w:eastAsia="en-US"/>
              </w:rPr>
              <w:t>/a</w:t>
            </w:r>
          </w:p>
        </w:tc>
        <w:tc>
          <w:tcPr>
            <w:tcW w:w="2610" w:type="dxa"/>
          </w:tcPr>
          <w:p w14:paraId="40B9F55E" w14:textId="77777777" w:rsidR="001B58C7" w:rsidRDefault="000F0E0E">
            <w:pPr>
              <w:spacing w:after="160" w:line="276" w:lineRule="auto"/>
              <w:rPr>
                <w:kern w:val="2"/>
                <w:sz w:val="22"/>
                <w:szCs w:val="22"/>
                <w:lang w:val="fr-FR" w:eastAsia="en-US"/>
              </w:rPr>
            </w:pPr>
            <w:r w:rsidRPr="006B740B">
              <w:rPr>
                <w:kern w:val="2"/>
                <w:sz w:val="22"/>
                <w:szCs w:val="22"/>
                <w:lang w:val="fr-FR" w:eastAsia="en-US"/>
              </w:rPr>
              <w:t xml:space="preserve">Activités pas encore lancées </w:t>
            </w:r>
            <w:r>
              <w:rPr>
                <w:kern w:val="2"/>
                <w:sz w:val="22"/>
                <w:szCs w:val="22"/>
                <w:lang w:val="fr-FR" w:eastAsia="en-US"/>
              </w:rPr>
              <w:t xml:space="preserve">(étude de </w:t>
            </w:r>
            <w:r>
              <w:rPr>
                <w:kern w:val="2"/>
                <w:sz w:val="22"/>
                <w:szCs w:val="22"/>
                <w:lang w:val="fr-FR" w:eastAsia="en-US"/>
              </w:rPr>
              <w:lastRenderedPageBreak/>
              <w:t>perception et/ou sondage d’opinion)</w:t>
            </w:r>
          </w:p>
          <w:p w14:paraId="3906ECCB" w14:textId="77777777" w:rsidR="001B58C7" w:rsidRPr="006B740B" w:rsidRDefault="001B58C7">
            <w:pPr>
              <w:spacing w:after="160" w:line="276" w:lineRule="auto"/>
              <w:rPr>
                <w:kern w:val="2"/>
                <w:sz w:val="22"/>
                <w:szCs w:val="22"/>
                <w:lang w:val="fr-FR"/>
              </w:rPr>
            </w:pPr>
          </w:p>
        </w:tc>
      </w:tr>
      <w:tr w:rsidR="001B58C7" w:rsidRPr="00ED3A8A" w14:paraId="6661AC84" w14:textId="77777777">
        <w:trPr>
          <w:trHeight w:val="4052"/>
        </w:trPr>
        <w:tc>
          <w:tcPr>
            <w:tcW w:w="2610" w:type="dxa"/>
            <w:shd w:val="clear" w:color="auto" w:fill="EEECE1"/>
          </w:tcPr>
          <w:p w14:paraId="5A8E62A4" w14:textId="77777777" w:rsidR="001B58C7" w:rsidRDefault="000F0E0E">
            <w:pPr>
              <w:spacing w:after="160" w:line="276" w:lineRule="auto"/>
              <w:rPr>
                <w:kern w:val="2"/>
                <w:sz w:val="22"/>
                <w:szCs w:val="22"/>
                <w:lang w:val="fr-FR" w:eastAsia="en-US"/>
              </w:rPr>
            </w:pPr>
            <w:r>
              <w:rPr>
                <w:b/>
                <w:kern w:val="2"/>
                <w:sz w:val="22"/>
                <w:szCs w:val="22"/>
                <w:lang w:val="fr-FR" w:eastAsia="en-US"/>
              </w:rPr>
              <w:lastRenderedPageBreak/>
              <w:t>Indicateur</w:t>
            </w:r>
            <w:r>
              <w:rPr>
                <w:kern w:val="2"/>
                <w:sz w:val="22"/>
                <w:szCs w:val="22"/>
                <w:lang w:val="fr-FR" w:eastAsia="en-US"/>
              </w:rPr>
              <w:t xml:space="preserve"> </w:t>
            </w:r>
            <w:r>
              <w:rPr>
                <w:b/>
                <w:bCs/>
                <w:kern w:val="2"/>
                <w:sz w:val="22"/>
                <w:szCs w:val="22"/>
                <w:lang w:val="fr-FR" w:eastAsia="en-US"/>
              </w:rPr>
              <w:t>2.3</w:t>
            </w:r>
          </w:p>
          <w:p w14:paraId="236B0D30" w14:textId="77777777" w:rsidR="001B58C7" w:rsidRPr="006B740B" w:rsidRDefault="000F0E0E">
            <w:pPr>
              <w:spacing w:after="160" w:line="276" w:lineRule="auto"/>
              <w:rPr>
                <w:bCs/>
                <w:kern w:val="2"/>
                <w:sz w:val="22"/>
                <w:szCs w:val="22"/>
                <w:lang w:val="fr-FR" w:eastAsia="en-US"/>
              </w:rPr>
            </w:pPr>
            <w:r w:rsidRPr="006B740B">
              <w:rPr>
                <w:bCs/>
                <w:kern w:val="2"/>
                <w:sz w:val="22"/>
                <w:szCs w:val="22"/>
                <w:lang w:val="fr-FR" w:eastAsia="en-US"/>
              </w:rPr>
              <w:t xml:space="preserve">Nombre de dossiers de crimes internationaux et/ou grave dont le traitement a respecté les principes d’un procès équitable (droit à la défense, principe de légalité, indépendance, </w:t>
            </w:r>
          </w:p>
          <w:p w14:paraId="5CE5BB95" w14:textId="77777777" w:rsidR="001B58C7" w:rsidRDefault="000F0E0E">
            <w:pPr>
              <w:spacing w:after="160" w:line="276" w:lineRule="auto"/>
              <w:rPr>
                <w:kern w:val="2"/>
                <w:sz w:val="22"/>
                <w:szCs w:val="22"/>
                <w:lang w:val="fr-FR" w:eastAsia="en-US"/>
              </w:rPr>
            </w:pPr>
            <w:r>
              <w:rPr>
                <w:bCs/>
                <w:kern w:val="2"/>
                <w:sz w:val="22"/>
                <w:szCs w:val="22"/>
                <w:lang w:val="zh-CN" w:eastAsia="en-US"/>
              </w:rPr>
              <w:t xml:space="preserve">Impartialité) </w:t>
            </w:r>
          </w:p>
        </w:tc>
        <w:tc>
          <w:tcPr>
            <w:tcW w:w="900" w:type="dxa"/>
            <w:shd w:val="clear" w:color="auto" w:fill="EEECE1"/>
          </w:tcPr>
          <w:p w14:paraId="745A3877" w14:textId="77777777" w:rsidR="001B58C7" w:rsidRDefault="000F0E0E">
            <w:pPr>
              <w:spacing w:after="160" w:line="276" w:lineRule="auto"/>
              <w:rPr>
                <w:kern w:val="2"/>
                <w:sz w:val="22"/>
                <w:szCs w:val="22"/>
                <w:lang w:val="fr-FR"/>
              </w:rPr>
            </w:pPr>
            <w:r>
              <w:rPr>
                <w:b/>
                <w:kern w:val="2"/>
                <w:sz w:val="22"/>
                <w:szCs w:val="22"/>
                <w:lang w:val="fr-FR" w:eastAsia="en-US"/>
              </w:rPr>
              <w:t>3</w:t>
            </w:r>
          </w:p>
        </w:tc>
        <w:tc>
          <w:tcPr>
            <w:tcW w:w="1440" w:type="dxa"/>
            <w:shd w:val="clear" w:color="auto" w:fill="EEECE1"/>
          </w:tcPr>
          <w:p w14:paraId="4435184E" w14:textId="77777777" w:rsidR="001B58C7" w:rsidRDefault="000F0E0E">
            <w:pPr>
              <w:spacing w:after="160" w:line="276" w:lineRule="auto"/>
              <w:rPr>
                <w:kern w:val="2"/>
                <w:sz w:val="22"/>
                <w:szCs w:val="22"/>
                <w:lang w:val="fr-FR"/>
              </w:rPr>
            </w:pPr>
            <w:r>
              <w:rPr>
                <w:b/>
                <w:kern w:val="2"/>
                <w:sz w:val="22"/>
                <w:szCs w:val="22"/>
                <w:lang w:val="fr-FR" w:eastAsia="en-US"/>
              </w:rPr>
              <w:t>6</w:t>
            </w:r>
          </w:p>
        </w:tc>
        <w:tc>
          <w:tcPr>
            <w:tcW w:w="1440" w:type="dxa"/>
            <w:shd w:val="clear" w:color="auto" w:fill="DEEBF6" w:themeFill="accent5" w:themeFillTint="32"/>
          </w:tcPr>
          <w:p w14:paraId="43F2318A" w14:textId="77777777" w:rsidR="001B58C7" w:rsidRDefault="000F0E0E">
            <w:pPr>
              <w:spacing w:after="160" w:line="276" w:lineRule="auto"/>
              <w:rPr>
                <w:kern w:val="2"/>
                <w:sz w:val="22"/>
                <w:szCs w:val="22"/>
                <w:lang w:val="fr-FR" w:eastAsia="en-US"/>
              </w:rPr>
            </w:pPr>
            <w:r>
              <w:rPr>
                <w:kern w:val="2"/>
                <w:sz w:val="22"/>
                <w:szCs w:val="22"/>
                <w:lang w:val="fr-FR" w:eastAsia="en-US"/>
              </w:rPr>
              <w:t>1</w:t>
            </w:r>
          </w:p>
        </w:tc>
        <w:tc>
          <w:tcPr>
            <w:tcW w:w="1440" w:type="dxa"/>
            <w:shd w:val="clear" w:color="auto" w:fill="DEEBF6" w:themeFill="accent5" w:themeFillTint="32"/>
          </w:tcPr>
          <w:p w14:paraId="3D6366BB" w14:textId="77777777" w:rsidR="001B58C7" w:rsidRDefault="000F0E0E">
            <w:pPr>
              <w:spacing w:after="160" w:line="276" w:lineRule="auto"/>
              <w:rPr>
                <w:kern w:val="2"/>
                <w:sz w:val="22"/>
                <w:szCs w:val="22"/>
                <w:lang w:val="fr-FR"/>
              </w:rPr>
            </w:pPr>
            <w:r>
              <w:rPr>
                <w:kern w:val="2"/>
                <w:sz w:val="22"/>
                <w:szCs w:val="22"/>
                <w:lang w:val="fr-FR"/>
              </w:rPr>
              <w:t>4</w:t>
            </w:r>
          </w:p>
        </w:tc>
        <w:tc>
          <w:tcPr>
            <w:tcW w:w="2610" w:type="dxa"/>
          </w:tcPr>
          <w:p w14:paraId="2968E77B" w14:textId="77777777" w:rsidR="001B58C7" w:rsidRDefault="000F0E0E">
            <w:pPr>
              <w:spacing w:after="160" w:line="276" w:lineRule="auto"/>
              <w:ind w:left="110" w:hangingChars="50" w:hanging="110"/>
              <w:jc w:val="both"/>
              <w:rPr>
                <w:kern w:val="2"/>
                <w:sz w:val="22"/>
                <w:szCs w:val="22"/>
                <w:lang w:val="fr-FR" w:eastAsia="en-US"/>
              </w:rPr>
            </w:pPr>
            <w:r>
              <w:rPr>
                <w:kern w:val="2"/>
                <w:sz w:val="22"/>
                <w:szCs w:val="22"/>
                <w:lang w:val="fr-FR" w:eastAsia="en-US"/>
              </w:rPr>
              <w:t xml:space="preserve">Activités réalisées pour 3 dossiers emblématiques au T3, 2025 et 1 dossier emblématique au T2, 2026. </w:t>
            </w:r>
          </w:p>
          <w:p w14:paraId="38852177" w14:textId="77777777" w:rsidR="001B58C7" w:rsidRDefault="000F0E0E">
            <w:pPr>
              <w:spacing w:after="160" w:line="276" w:lineRule="auto"/>
              <w:ind w:left="110" w:hangingChars="50" w:hanging="110"/>
              <w:jc w:val="both"/>
              <w:rPr>
                <w:kern w:val="2"/>
                <w:sz w:val="22"/>
                <w:szCs w:val="22"/>
                <w:lang w:val="fr-FR"/>
              </w:rPr>
            </w:pPr>
            <w:r>
              <w:rPr>
                <w:kern w:val="2"/>
                <w:sz w:val="22"/>
                <w:szCs w:val="22"/>
                <w:lang w:val="fr-FR" w:eastAsia="en-US"/>
              </w:rPr>
              <w:t>Au total : 4 dossiers de crimes internationaux et/ou graves instruits et jugés</w:t>
            </w:r>
            <w:r>
              <w:rPr>
                <w:rStyle w:val="Marquedecommentaire"/>
                <w:kern w:val="2"/>
                <w:sz w:val="22"/>
                <w:szCs w:val="22"/>
                <w:u w:val="single"/>
                <w:lang w:val="fr-FR" w:eastAsia="en-US"/>
              </w:rPr>
              <w:t xml:space="preserve"> </w:t>
            </w:r>
            <w:r>
              <w:rPr>
                <w:rStyle w:val="Marquedecommentaire"/>
                <w:b/>
                <w:bCs/>
                <w:kern w:val="2"/>
                <w:sz w:val="22"/>
                <w:szCs w:val="22"/>
                <w:u w:val="single"/>
                <w:lang w:val="fr-FR" w:eastAsia="en-US"/>
              </w:rPr>
              <w:t>(Province du KASAI : 2 dossiers et Province du KASAI CENTRAL : 2 dossiers)</w:t>
            </w:r>
            <w:r>
              <w:rPr>
                <w:b/>
                <w:bCs/>
                <w:kern w:val="2"/>
                <w:sz w:val="22"/>
                <w:szCs w:val="22"/>
                <w:u w:val="single"/>
                <w:lang w:val="fr-FR" w:eastAsia="en-US"/>
              </w:rPr>
              <w:t>.</w:t>
            </w:r>
          </w:p>
        </w:tc>
      </w:tr>
      <w:tr w:rsidR="001B58C7" w14:paraId="7566D450" w14:textId="77777777">
        <w:trPr>
          <w:trHeight w:val="300"/>
        </w:trPr>
        <w:tc>
          <w:tcPr>
            <w:tcW w:w="2610" w:type="dxa"/>
            <w:shd w:val="clear" w:color="auto" w:fill="EEECE1"/>
          </w:tcPr>
          <w:p w14:paraId="4C243F6F" w14:textId="77777777" w:rsidR="001B58C7" w:rsidRPr="006B740B" w:rsidRDefault="000F0E0E">
            <w:pPr>
              <w:spacing w:after="160" w:line="276" w:lineRule="auto"/>
              <w:rPr>
                <w:bCs/>
                <w:kern w:val="2"/>
                <w:sz w:val="22"/>
                <w:szCs w:val="22"/>
                <w:lang w:val="fr-FR" w:eastAsia="en-US"/>
              </w:rPr>
            </w:pPr>
            <w:r>
              <w:rPr>
                <w:b/>
                <w:kern w:val="2"/>
                <w:sz w:val="22"/>
                <w:szCs w:val="22"/>
                <w:lang w:val="fr-FR" w:eastAsia="en-US"/>
              </w:rPr>
              <w:t>Indicateur 2.4</w:t>
            </w:r>
            <w:r>
              <w:rPr>
                <w:bCs/>
                <w:kern w:val="2"/>
                <w:sz w:val="22"/>
                <w:szCs w:val="22"/>
                <w:lang w:val="fr-FR" w:eastAsia="en-US"/>
              </w:rPr>
              <w:t xml:space="preserve"> </w:t>
            </w:r>
            <w:r w:rsidRPr="006B740B">
              <w:rPr>
                <w:bCs/>
                <w:kern w:val="2"/>
                <w:sz w:val="22"/>
                <w:szCs w:val="22"/>
                <w:lang w:val="fr-FR" w:eastAsia="en-US"/>
              </w:rPr>
              <w:t xml:space="preserve">Nombre de </w:t>
            </w:r>
          </w:p>
          <w:p w14:paraId="25A26C5A" w14:textId="77777777" w:rsidR="001B58C7" w:rsidRPr="006B740B" w:rsidRDefault="000F0E0E">
            <w:pPr>
              <w:spacing w:after="160" w:line="276" w:lineRule="auto"/>
              <w:rPr>
                <w:bCs/>
                <w:kern w:val="2"/>
                <w:sz w:val="22"/>
                <w:szCs w:val="22"/>
                <w:lang w:val="fr-FR" w:eastAsia="en-US"/>
              </w:rPr>
            </w:pPr>
            <w:proofErr w:type="gramStart"/>
            <w:r w:rsidRPr="006B740B">
              <w:rPr>
                <w:bCs/>
                <w:kern w:val="2"/>
                <w:sz w:val="22"/>
                <w:szCs w:val="22"/>
                <w:lang w:val="fr-FR" w:eastAsia="en-US"/>
              </w:rPr>
              <w:t>dossiers</w:t>
            </w:r>
            <w:proofErr w:type="gramEnd"/>
            <w:r w:rsidRPr="006B740B">
              <w:rPr>
                <w:bCs/>
                <w:kern w:val="2"/>
                <w:sz w:val="22"/>
                <w:szCs w:val="22"/>
                <w:lang w:val="fr-FR" w:eastAsia="en-US"/>
              </w:rPr>
              <w:t xml:space="preserve"> de SVBG liés au </w:t>
            </w:r>
          </w:p>
          <w:p w14:paraId="6323892B" w14:textId="77777777" w:rsidR="001B58C7" w:rsidRDefault="000F0E0E">
            <w:pPr>
              <w:spacing w:after="160" w:line="276" w:lineRule="auto"/>
              <w:rPr>
                <w:b/>
                <w:kern w:val="2"/>
                <w:sz w:val="22"/>
                <w:szCs w:val="22"/>
                <w:lang w:val="fr-FR" w:eastAsia="en-US"/>
              </w:rPr>
            </w:pPr>
            <w:proofErr w:type="gramStart"/>
            <w:r w:rsidRPr="006B740B">
              <w:rPr>
                <w:bCs/>
                <w:kern w:val="2"/>
                <w:sz w:val="22"/>
                <w:szCs w:val="22"/>
                <w:lang w:val="fr-FR" w:eastAsia="en-US"/>
              </w:rPr>
              <w:t>conflit</w:t>
            </w:r>
            <w:proofErr w:type="gramEnd"/>
            <w:r w:rsidRPr="006B740B">
              <w:rPr>
                <w:bCs/>
                <w:kern w:val="2"/>
                <w:sz w:val="22"/>
                <w:szCs w:val="22"/>
                <w:lang w:val="fr-FR" w:eastAsia="en-US"/>
              </w:rPr>
              <w:t xml:space="preserve"> traité par les cours et Tribunaux.</w:t>
            </w:r>
          </w:p>
        </w:tc>
        <w:tc>
          <w:tcPr>
            <w:tcW w:w="900" w:type="dxa"/>
            <w:shd w:val="clear" w:color="auto" w:fill="EEECE1"/>
          </w:tcPr>
          <w:p w14:paraId="6552139B" w14:textId="77777777" w:rsidR="001B58C7" w:rsidRDefault="000F0E0E">
            <w:pPr>
              <w:spacing w:after="160" w:line="276" w:lineRule="auto"/>
              <w:rPr>
                <w:b/>
                <w:kern w:val="2"/>
                <w:sz w:val="22"/>
                <w:szCs w:val="22"/>
                <w:lang w:val="fr-FR" w:eastAsia="en-US"/>
              </w:rPr>
            </w:pPr>
            <w:r>
              <w:rPr>
                <w:b/>
                <w:kern w:val="2"/>
                <w:sz w:val="22"/>
                <w:szCs w:val="22"/>
                <w:lang w:val="fr-FR" w:eastAsia="en-US"/>
              </w:rPr>
              <w:t>3</w:t>
            </w:r>
          </w:p>
        </w:tc>
        <w:tc>
          <w:tcPr>
            <w:tcW w:w="1440" w:type="dxa"/>
            <w:shd w:val="clear" w:color="auto" w:fill="EEECE1"/>
          </w:tcPr>
          <w:p w14:paraId="18C70B1C" w14:textId="77777777" w:rsidR="001B58C7" w:rsidRDefault="000F0E0E">
            <w:pPr>
              <w:spacing w:after="160" w:line="276" w:lineRule="auto"/>
              <w:rPr>
                <w:b/>
                <w:kern w:val="2"/>
                <w:sz w:val="22"/>
                <w:szCs w:val="22"/>
                <w:lang w:val="fr-FR" w:eastAsia="en-US"/>
              </w:rPr>
            </w:pPr>
            <w:r>
              <w:rPr>
                <w:b/>
                <w:kern w:val="2"/>
                <w:sz w:val="22"/>
                <w:szCs w:val="22"/>
                <w:lang w:val="fr-FR" w:eastAsia="en-US"/>
              </w:rPr>
              <w:t>6</w:t>
            </w:r>
          </w:p>
        </w:tc>
        <w:tc>
          <w:tcPr>
            <w:tcW w:w="1440" w:type="dxa"/>
            <w:shd w:val="clear" w:color="auto" w:fill="DEEBF6" w:themeFill="accent5" w:themeFillTint="32"/>
          </w:tcPr>
          <w:p w14:paraId="2701F6EF" w14:textId="77777777" w:rsidR="001B58C7" w:rsidRDefault="000F0E0E">
            <w:pPr>
              <w:spacing w:after="160" w:line="276" w:lineRule="auto"/>
              <w:rPr>
                <w:kern w:val="2"/>
                <w:sz w:val="22"/>
                <w:szCs w:val="22"/>
                <w:lang w:val="fr-FR" w:eastAsia="en-US"/>
              </w:rPr>
            </w:pPr>
            <w:r>
              <w:rPr>
                <w:kern w:val="2"/>
                <w:sz w:val="22"/>
                <w:szCs w:val="22"/>
                <w:lang w:val="fr-FR" w:eastAsia="en-US"/>
              </w:rPr>
              <w:t>1</w:t>
            </w:r>
          </w:p>
        </w:tc>
        <w:tc>
          <w:tcPr>
            <w:tcW w:w="1440" w:type="dxa"/>
            <w:shd w:val="clear" w:color="auto" w:fill="DEEBF6" w:themeFill="accent5" w:themeFillTint="32"/>
          </w:tcPr>
          <w:p w14:paraId="116AE66D" w14:textId="77777777" w:rsidR="001B58C7" w:rsidRDefault="000F0E0E">
            <w:pPr>
              <w:spacing w:after="160" w:line="276" w:lineRule="auto"/>
              <w:rPr>
                <w:kern w:val="2"/>
                <w:sz w:val="22"/>
                <w:szCs w:val="22"/>
                <w:lang w:val="fr-FR" w:eastAsia="en-US"/>
              </w:rPr>
            </w:pPr>
            <w:r>
              <w:rPr>
                <w:kern w:val="2"/>
                <w:sz w:val="22"/>
                <w:szCs w:val="22"/>
                <w:lang w:val="fr-FR" w:eastAsia="en-US"/>
              </w:rPr>
              <w:t>4</w:t>
            </w:r>
          </w:p>
        </w:tc>
        <w:tc>
          <w:tcPr>
            <w:tcW w:w="2610" w:type="dxa"/>
          </w:tcPr>
          <w:p w14:paraId="4D168E88" w14:textId="77777777" w:rsidR="001B58C7" w:rsidRDefault="000F0E0E">
            <w:pPr>
              <w:spacing w:after="160" w:line="276" w:lineRule="auto"/>
              <w:rPr>
                <w:kern w:val="2"/>
                <w:sz w:val="22"/>
                <w:szCs w:val="22"/>
                <w:lang w:val="fr-FR" w:eastAsia="en-US"/>
              </w:rPr>
            </w:pPr>
            <w:r>
              <w:rPr>
                <w:kern w:val="2"/>
                <w:sz w:val="22"/>
                <w:szCs w:val="22"/>
                <w:lang w:val="fr-FR" w:eastAsia="en-US"/>
              </w:rPr>
              <w:t>Idem.</w:t>
            </w:r>
          </w:p>
        </w:tc>
      </w:tr>
    </w:tbl>
    <w:p w14:paraId="04EC0A43" w14:textId="77777777" w:rsidR="001B58C7" w:rsidRDefault="001B58C7">
      <w:pPr>
        <w:ind w:left="-720"/>
        <w:rPr>
          <w:b/>
          <w:u w:val="single"/>
          <w:lang w:val="fr-FR"/>
        </w:rPr>
      </w:pPr>
    </w:p>
    <w:p w14:paraId="6E524FEE" w14:textId="77777777" w:rsidR="001B58C7" w:rsidRPr="006B740B" w:rsidRDefault="000F0E0E">
      <w:pPr>
        <w:ind w:left="-360"/>
        <w:jc w:val="both"/>
        <w:rPr>
          <w:b/>
          <w:u w:val="single"/>
          <w:lang w:val="fr-FR"/>
        </w:rPr>
      </w:pPr>
      <w:r>
        <w:rPr>
          <w:b/>
          <w:u w:val="single"/>
          <w:lang w:val="fr-FR"/>
        </w:rPr>
        <w:t>Produit 2.1</w:t>
      </w:r>
      <w:r>
        <w:rPr>
          <w:b/>
          <w:lang w:val="fr-FR"/>
        </w:rPr>
        <w:t xml:space="preserve"> :  </w:t>
      </w:r>
      <w:r w:rsidRPr="006B740B">
        <w:rPr>
          <w:b/>
          <w:lang w:val="fr-FR"/>
        </w:rPr>
        <w:t xml:space="preserve">L’offre de justice est améliorée par le renforcement de la chaîne pénale dans la poursuite des crimes de droit international y compris les violences sexuelles commises en période de conflit. </w:t>
      </w:r>
    </w:p>
    <w:p w14:paraId="66D14203" w14:textId="77777777" w:rsidR="001B58C7" w:rsidRPr="006B740B" w:rsidRDefault="001B58C7">
      <w:pPr>
        <w:ind w:left="-720" w:firstLine="360"/>
        <w:rPr>
          <w:b/>
          <w:u w:val="single"/>
          <w:lang w:val="fr-FR"/>
        </w:rPr>
      </w:pPr>
    </w:p>
    <w:tbl>
      <w:tblPr>
        <w:tblW w:w="10440" w:type="dxa"/>
        <w:tblInd w:w="-7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970"/>
        <w:gridCol w:w="990"/>
        <w:gridCol w:w="1296"/>
        <w:gridCol w:w="1134"/>
        <w:gridCol w:w="990"/>
        <w:gridCol w:w="3060"/>
      </w:tblGrid>
      <w:tr w:rsidR="001B58C7" w:rsidRPr="00ED3A8A" w14:paraId="38959209" w14:textId="77777777">
        <w:trPr>
          <w:tblHeader/>
        </w:trPr>
        <w:tc>
          <w:tcPr>
            <w:tcW w:w="2970" w:type="dxa"/>
            <w:shd w:val="clear" w:color="auto" w:fill="EEECE1"/>
          </w:tcPr>
          <w:p w14:paraId="04DE644E" w14:textId="77777777" w:rsidR="001B58C7" w:rsidRDefault="000F0E0E">
            <w:pPr>
              <w:spacing w:after="160" w:line="276" w:lineRule="auto"/>
              <w:rPr>
                <w:b/>
                <w:kern w:val="2"/>
                <w:sz w:val="22"/>
                <w:szCs w:val="22"/>
                <w:lang w:val="fr-FR" w:eastAsia="en-US"/>
              </w:rPr>
            </w:pPr>
            <w:r>
              <w:rPr>
                <w:b/>
                <w:kern w:val="2"/>
                <w:sz w:val="22"/>
                <w:szCs w:val="22"/>
                <w:lang w:val="fr-FR" w:eastAsia="en-US"/>
              </w:rPr>
              <w:t>Indicateurs de produit</w:t>
            </w:r>
          </w:p>
        </w:tc>
        <w:tc>
          <w:tcPr>
            <w:tcW w:w="990" w:type="dxa"/>
            <w:shd w:val="clear" w:color="auto" w:fill="EEECE1"/>
          </w:tcPr>
          <w:p w14:paraId="62BAB76F" w14:textId="77777777" w:rsidR="001B58C7" w:rsidRDefault="000F0E0E">
            <w:pPr>
              <w:spacing w:after="160" w:line="276" w:lineRule="auto"/>
              <w:rPr>
                <w:b/>
                <w:kern w:val="2"/>
                <w:sz w:val="22"/>
                <w:szCs w:val="22"/>
                <w:lang w:val="fr-FR"/>
              </w:rPr>
            </w:pPr>
            <w:r>
              <w:rPr>
                <w:b/>
                <w:kern w:val="2"/>
                <w:sz w:val="22"/>
                <w:szCs w:val="22"/>
                <w:lang w:val="fr-FR"/>
              </w:rPr>
              <w:t>Indicateur de base</w:t>
            </w:r>
          </w:p>
        </w:tc>
        <w:tc>
          <w:tcPr>
            <w:tcW w:w="1296" w:type="dxa"/>
            <w:shd w:val="clear" w:color="auto" w:fill="EEECE1"/>
          </w:tcPr>
          <w:p w14:paraId="301C18E2" w14:textId="77777777" w:rsidR="001B58C7" w:rsidRDefault="000F0E0E">
            <w:pPr>
              <w:spacing w:after="160" w:line="276" w:lineRule="auto"/>
              <w:rPr>
                <w:b/>
                <w:kern w:val="2"/>
                <w:sz w:val="22"/>
                <w:szCs w:val="22"/>
                <w:lang w:val="fr-FR" w:eastAsia="en-US"/>
              </w:rPr>
            </w:pPr>
            <w:r>
              <w:rPr>
                <w:b/>
                <w:kern w:val="2"/>
                <w:sz w:val="22"/>
                <w:szCs w:val="22"/>
                <w:lang w:val="fr-FR" w:eastAsia="en-US"/>
              </w:rPr>
              <w:t>Cible de fin de projet</w:t>
            </w:r>
          </w:p>
        </w:tc>
        <w:tc>
          <w:tcPr>
            <w:tcW w:w="1134" w:type="dxa"/>
          </w:tcPr>
          <w:p w14:paraId="40F35DBC" w14:textId="77777777" w:rsidR="001B58C7" w:rsidRDefault="000F0E0E">
            <w:pPr>
              <w:spacing w:after="160" w:line="276" w:lineRule="auto"/>
              <w:rPr>
                <w:b/>
                <w:bCs/>
                <w:kern w:val="2"/>
                <w:sz w:val="22"/>
                <w:szCs w:val="22"/>
                <w:lang w:val="fr-FR" w:eastAsia="en-US"/>
              </w:rPr>
            </w:pPr>
            <w:r>
              <w:rPr>
                <w:b/>
                <w:bCs/>
                <w:kern w:val="2"/>
                <w:sz w:val="22"/>
                <w:szCs w:val="22"/>
                <w:lang w:val="fr-FR" w:eastAsia="en-US"/>
              </w:rPr>
              <w:t>Progrès de l’indicateur pour la période de référence</w:t>
            </w:r>
          </w:p>
        </w:tc>
        <w:tc>
          <w:tcPr>
            <w:tcW w:w="990" w:type="dxa"/>
          </w:tcPr>
          <w:p w14:paraId="535FC1A6" w14:textId="77777777" w:rsidR="001B58C7" w:rsidRDefault="000F0E0E">
            <w:pPr>
              <w:spacing w:after="160" w:line="276" w:lineRule="auto"/>
              <w:rPr>
                <w:b/>
                <w:bCs/>
                <w:kern w:val="2"/>
                <w:sz w:val="22"/>
                <w:szCs w:val="22"/>
                <w:lang w:val="fr-FR" w:eastAsia="en-US"/>
              </w:rPr>
            </w:pPr>
            <w:r>
              <w:rPr>
                <w:b/>
                <w:bCs/>
                <w:kern w:val="2"/>
                <w:sz w:val="22"/>
                <w:szCs w:val="22"/>
                <w:lang w:val="fr-FR" w:eastAsia="en-US"/>
              </w:rPr>
              <w:t>Progrès de l’indicateur depuis le début du projet</w:t>
            </w:r>
          </w:p>
        </w:tc>
        <w:tc>
          <w:tcPr>
            <w:tcW w:w="3060" w:type="dxa"/>
          </w:tcPr>
          <w:p w14:paraId="1B94DAAB" w14:textId="77777777" w:rsidR="001B58C7" w:rsidRDefault="000F0E0E">
            <w:pPr>
              <w:spacing w:after="160" w:line="276" w:lineRule="auto"/>
              <w:rPr>
                <w:b/>
                <w:kern w:val="2"/>
                <w:sz w:val="22"/>
                <w:szCs w:val="22"/>
                <w:lang w:val="fr-FR" w:eastAsia="en-US"/>
              </w:rPr>
            </w:pPr>
            <w:r>
              <w:rPr>
                <w:b/>
                <w:kern w:val="2"/>
                <w:sz w:val="22"/>
                <w:szCs w:val="22"/>
                <w:lang w:val="fr-FR" w:eastAsia="en-US"/>
              </w:rPr>
              <w:t>Raisons pour les retards ou changements (s'il y en a)</w:t>
            </w:r>
          </w:p>
        </w:tc>
      </w:tr>
      <w:tr w:rsidR="001B58C7" w:rsidRPr="00ED3A8A" w14:paraId="723AE415" w14:textId="77777777">
        <w:trPr>
          <w:trHeight w:val="548"/>
        </w:trPr>
        <w:tc>
          <w:tcPr>
            <w:tcW w:w="2970" w:type="dxa"/>
            <w:shd w:val="clear" w:color="auto" w:fill="EEECE1"/>
          </w:tcPr>
          <w:p w14:paraId="5D103AC9" w14:textId="77777777" w:rsidR="001B58C7" w:rsidRDefault="000F0E0E">
            <w:pPr>
              <w:spacing w:after="160" w:line="276" w:lineRule="auto"/>
              <w:rPr>
                <w:kern w:val="2"/>
                <w:sz w:val="22"/>
                <w:szCs w:val="22"/>
                <w:lang w:val="fr-FR" w:eastAsia="en-US"/>
              </w:rPr>
            </w:pPr>
            <w:r>
              <w:rPr>
                <w:b/>
                <w:kern w:val="2"/>
                <w:sz w:val="22"/>
                <w:szCs w:val="22"/>
                <w:lang w:val="fr-FR" w:eastAsia="en-US"/>
              </w:rPr>
              <w:t>Indicateur</w:t>
            </w:r>
            <w:r>
              <w:rPr>
                <w:kern w:val="2"/>
                <w:sz w:val="22"/>
                <w:szCs w:val="22"/>
                <w:lang w:val="fr-FR" w:eastAsia="en-US"/>
              </w:rPr>
              <w:t xml:space="preserve"> </w:t>
            </w:r>
            <w:r>
              <w:rPr>
                <w:b/>
                <w:bCs/>
                <w:kern w:val="2"/>
                <w:sz w:val="22"/>
                <w:szCs w:val="22"/>
                <w:lang w:val="fr-FR" w:eastAsia="en-US"/>
              </w:rPr>
              <w:t>2.1.1</w:t>
            </w:r>
          </w:p>
          <w:p w14:paraId="52AC10DA" w14:textId="77777777" w:rsidR="001B58C7" w:rsidRPr="006B740B" w:rsidRDefault="000F0E0E">
            <w:pPr>
              <w:spacing w:after="160" w:line="276" w:lineRule="auto"/>
              <w:rPr>
                <w:kern w:val="2"/>
                <w:sz w:val="22"/>
                <w:szCs w:val="22"/>
                <w:lang w:val="fr-FR" w:eastAsia="en-US"/>
              </w:rPr>
            </w:pPr>
            <w:r w:rsidRPr="006B740B">
              <w:rPr>
                <w:kern w:val="2"/>
                <w:sz w:val="22"/>
                <w:szCs w:val="22"/>
                <w:lang w:val="fr-FR" w:eastAsia="en-US"/>
              </w:rPr>
              <w:lastRenderedPageBreak/>
              <w:t>Existence des stratégies provinciales de poursuites des crimes de droit international actualisées.</w:t>
            </w:r>
          </w:p>
        </w:tc>
        <w:tc>
          <w:tcPr>
            <w:tcW w:w="990" w:type="dxa"/>
            <w:shd w:val="clear" w:color="auto" w:fill="EEECE1"/>
          </w:tcPr>
          <w:p w14:paraId="2E0F6140" w14:textId="77777777" w:rsidR="001B58C7" w:rsidRDefault="000F0E0E">
            <w:pPr>
              <w:spacing w:after="160" w:line="276" w:lineRule="auto"/>
              <w:rPr>
                <w:kern w:val="2"/>
                <w:sz w:val="22"/>
                <w:szCs w:val="22"/>
                <w:lang w:val="fr-FR" w:eastAsia="en-US"/>
              </w:rPr>
            </w:pPr>
            <w:r>
              <w:rPr>
                <w:b/>
                <w:kern w:val="2"/>
                <w:sz w:val="22"/>
                <w:szCs w:val="22"/>
                <w:lang w:val="fr-FR" w:eastAsia="en-US"/>
              </w:rPr>
              <w:lastRenderedPageBreak/>
              <w:t>2</w:t>
            </w:r>
          </w:p>
        </w:tc>
        <w:tc>
          <w:tcPr>
            <w:tcW w:w="1296" w:type="dxa"/>
            <w:shd w:val="clear" w:color="auto" w:fill="EEECE1"/>
          </w:tcPr>
          <w:p w14:paraId="1F1296DD" w14:textId="77777777" w:rsidR="001B58C7" w:rsidRDefault="000F0E0E">
            <w:pPr>
              <w:spacing w:after="160" w:line="276" w:lineRule="auto"/>
              <w:rPr>
                <w:kern w:val="2"/>
                <w:sz w:val="22"/>
                <w:szCs w:val="22"/>
                <w:lang w:val="fr-FR"/>
              </w:rPr>
            </w:pPr>
            <w:r>
              <w:rPr>
                <w:b/>
                <w:kern w:val="2"/>
                <w:sz w:val="22"/>
                <w:szCs w:val="22"/>
                <w:lang w:val="fr-FR" w:eastAsia="en-US"/>
              </w:rPr>
              <w:t>2</w:t>
            </w:r>
          </w:p>
        </w:tc>
        <w:tc>
          <w:tcPr>
            <w:tcW w:w="1134" w:type="dxa"/>
            <w:shd w:val="clear" w:color="auto" w:fill="DEEAF6" w:themeFill="accent5" w:themeFillTint="33"/>
          </w:tcPr>
          <w:p w14:paraId="2732621F" w14:textId="77777777" w:rsidR="001B58C7" w:rsidRDefault="000F0E0E">
            <w:pPr>
              <w:spacing w:after="160" w:line="276" w:lineRule="auto"/>
              <w:rPr>
                <w:b/>
                <w:bCs/>
                <w:kern w:val="2"/>
                <w:sz w:val="22"/>
                <w:szCs w:val="22"/>
                <w:lang w:val="fr-FR" w:eastAsia="en-US"/>
              </w:rPr>
            </w:pPr>
            <w:r>
              <w:rPr>
                <w:b/>
                <w:bCs/>
                <w:kern w:val="2"/>
                <w:sz w:val="22"/>
                <w:szCs w:val="22"/>
                <w:lang w:val="fr-FR" w:eastAsia="en-US"/>
              </w:rPr>
              <w:t>2</w:t>
            </w:r>
          </w:p>
        </w:tc>
        <w:tc>
          <w:tcPr>
            <w:tcW w:w="990" w:type="dxa"/>
            <w:shd w:val="clear" w:color="auto" w:fill="DEEAF6" w:themeFill="accent5" w:themeFillTint="33"/>
          </w:tcPr>
          <w:p w14:paraId="52EAFDD3" w14:textId="77777777" w:rsidR="001B58C7" w:rsidRDefault="000F0E0E">
            <w:pPr>
              <w:spacing w:after="160" w:line="276" w:lineRule="auto"/>
              <w:rPr>
                <w:kern w:val="2"/>
                <w:sz w:val="22"/>
                <w:szCs w:val="22"/>
                <w:lang w:val="fr-FR"/>
              </w:rPr>
            </w:pPr>
            <w:r>
              <w:rPr>
                <w:b/>
                <w:bCs/>
                <w:kern w:val="2"/>
                <w:sz w:val="22"/>
                <w:szCs w:val="22"/>
                <w:lang w:val="fr-FR" w:eastAsia="en-US"/>
              </w:rPr>
              <w:t>2</w:t>
            </w:r>
          </w:p>
        </w:tc>
        <w:tc>
          <w:tcPr>
            <w:tcW w:w="3060" w:type="dxa"/>
          </w:tcPr>
          <w:p w14:paraId="1C187B32" w14:textId="77777777" w:rsidR="001B58C7" w:rsidRDefault="000F0E0E">
            <w:pPr>
              <w:spacing w:after="160" w:line="276" w:lineRule="auto"/>
              <w:rPr>
                <w:kern w:val="2"/>
                <w:sz w:val="22"/>
                <w:szCs w:val="22"/>
                <w:lang w:val="fr-FR"/>
              </w:rPr>
            </w:pPr>
            <w:r>
              <w:rPr>
                <w:kern w:val="2"/>
                <w:sz w:val="22"/>
                <w:szCs w:val="22"/>
                <w:lang w:val="fr-FR"/>
              </w:rPr>
              <w:t xml:space="preserve">Les deux stratégies provinciales existent avec au total 16 dossiers retenus pour les deux </w:t>
            </w:r>
            <w:r>
              <w:rPr>
                <w:kern w:val="2"/>
                <w:sz w:val="22"/>
                <w:szCs w:val="22"/>
                <w:lang w:val="fr-FR"/>
              </w:rPr>
              <w:lastRenderedPageBreak/>
              <w:t>provinces ciblées. Le projet appuie la mise en œuvre de deux stratégies provinciales au Kasai &amp; Kasai Central.</w:t>
            </w:r>
          </w:p>
        </w:tc>
      </w:tr>
      <w:tr w:rsidR="001B58C7" w14:paraId="4B9E0678" w14:textId="77777777">
        <w:trPr>
          <w:trHeight w:val="548"/>
        </w:trPr>
        <w:tc>
          <w:tcPr>
            <w:tcW w:w="2970" w:type="dxa"/>
            <w:shd w:val="clear" w:color="auto" w:fill="EEECE1"/>
          </w:tcPr>
          <w:p w14:paraId="584CFF4D" w14:textId="77777777" w:rsidR="001B58C7" w:rsidRDefault="000F0E0E">
            <w:pPr>
              <w:spacing w:after="160" w:line="276" w:lineRule="auto"/>
              <w:rPr>
                <w:kern w:val="2"/>
                <w:sz w:val="22"/>
                <w:szCs w:val="22"/>
                <w:lang w:val="fr-FR" w:eastAsia="en-US"/>
              </w:rPr>
            </w:pPr>
            <w:r>
              <w:rPr>
                <w:b/>
                <w:kern w:val="2"/>
                <w:sz w:val="22"/>
                <w:szCs w:val="22"/>
                <w:lang w:val="fr-FR" w:eastAsia="en-US"/>
              </w:rPr>
              <w:lastRenderedPageBreak/>
              <w:t>Indicateur</w:t>
            </w:r>
            <w:r>
              <w:rPr>
                <w:kern w:val="2"/>
                <w:sz w:val="22"/>
                <w:szCs w:val="22"/>
                <w:lang w:val="fr-FR" w:eastAsia="en-US"/>
              </w:rPr>
              <w:t xml:space="preserve"> </w:t>
            </w:r>
            <w:r>
              <w:rPr>
                <w:b/>
                <w:bCs/>
                <w:kern w:val="2"/>
                <w:sz w:val="22"/>
                <w:szCs w:val="22"/>
                <w:lang w:val="fr-FR" w:eastAsia="en-US"/>
              </w:rPr>
              <w:t>2.1.2</w:t>
            </w:r>
          </w:p>
          <w:p w14:paraId="1CEB089D" w14:textId="77777777" w:rsidR="001B58C7" w:rsidRPr="006B740B" w:rsidRDefault="000F0E0E">
            <w:pPr>
              <w:spacing w:after="160" w:line="276" w:lineRule="auto"/>
              <w:rPr>
                <w:kern w:val="2"/>
                <w:sz w:val="22"/>
                <w:szCs w:val="22"/>
                <w:lang w:val="fr-FR" w:eastAsia="en-US"/>
              </w:rPr>
            </w:pPr>
            <w:r w:rsidRPr="006B740B">
              <w:rPr>
                <w:kern w:val="2"/>
                <w:sz w:val="22"/>
                <w:szCs w:val="22"/>
                <w:lang w:val="fr-FR" w:eastAsia="en-US"/>
              </w:rPr>
              <w:t xml:space="preserve">Nombre de dossiers relatifs aux crimes de droit international faisant l'objet d'un traitement. </w:t>
            </w:r>
          </w:p>
        </w:tc>
        <w:tc>
          <w:tcPr>
            <w:tcW w:w="990" w:type="dxa"/>
            <w:shd w:val="clear" w:color="auto" w:fill="EEECE1"/>
          </w:tcPr>
          <w:p w14:paraId="7FB62821" w14:textId="77777777" w:rsidR="001B58C7" w:rsidRDefault="000F0E0E">
            <w:pPr>
              <w:spacing w:after="160" w:line="276" w:lineRule="auto"/>
              <w:rPr>
                <w:kern w:val="2"/>
                <w:sz w:val="22"/>
                <w:szCs w:val="22"/>
                <w:lang w:val="fr-FR"/>
              </w:rPr>
            </w:pPr>
            <w:r>
              <w:rPr>
                <w:b/>
                <w:kern w:val="2"/>
                <w:sz w:val="22"/>
                <w:szCs w:val="22"/>
                <w:lang w:val="fr-FR" w:eastAsia="en-US"/>
              </w:rPr>
              <w:t>16</w:t>
            </w:r>
          </w:p>
        </w:tc>
        <w:tc>
          <w:tcPr>
            <w:tcW w:w="1296" w:type="dxa"/>
          </w:tcPr>
          <w:p w14:paraId="0A2E6391" w14:textId="77777777" w:rsidR="001B58C7" w:rsidRDefault="000F0E0E">
            <w:pPr>
              <w:spacing w:after="160" w:line="276" w:lineRule="auto"/>
              <w:rPr>
                <w:kern w:val="2"/>
                <w:sz w:val="22"/>
                <w:szCs w:val="22"/>
                <w:lang w:val="fr-FR"/>
              </w:rPr>
            </w:pPr>
            <w:r>
              <w:rPr>
                <w:b/>
                <w:kern w:val="2"/>
                <w:sz w:val="22"/>
                <w:szCs w:val="22"/>
                <w:lang w:val="fr-FR" w:eastAsia="en-US"/>
              </w:rPr>
              <w:t>16</w:t>
            </w:r>
          </w:p>
        </w:tc>
        <w:tc>
          <w:tcPr>
            <w:tcW w:w="1134" w:type="dxa"/>
            <w:shd w:val="clear" w:color="auto" w:fill="DEEBF6" w:themeFill="accent5" w:themeFillTint="32"/>
          </w:tcPr>
          <w:p w14:paraId="30AE629B" w14:textId="77777777" w:rsidR="001B58C7" w:rsidRDefault="000F0E0E">
            <w:pPr>
              <w:spacing w:after="160" w:line="276" w:lineRule="auto"/>
              <w:rPr>
                <w:b/>
                <w:kern w:val="2"/>
                <w:sz w:val="22"/>
                <w:szCs w:val="22"/>
                <w:lang w:val="fr-FR" w:eastAsia="en-US"/>
              </w:rPr>
            </w:pPr>
            <w:r>
              <w:rPr>
                <w:b/>
                <w:kern w:val="2"/>
                <w:sz w:val="22"/>
                <w:szCs w:val="22"/>
                <w:lang w:val="fr-FR" w:eastAsia="en-US"/>
              </w:rPr>
              <w:t>1</w:t>
            </w:r>
          </w:p>
        </w:tc>
        <w:tc>
          <w:tcPr>
            <w:tcW w:w="990" w:type="dxa"/>
            <w:shd w:val="clear" w:color="auto" w:fill="DEEBF6" w:themeFill="accent5" w:themeFillTint="32"/>
          </w:tcPr>
          <w:p w14:paraId="2D099F3D" w14:textId="77777777" w:rsidR="001B58C7" w:rsidRDefault="000F0E0E">
            <w:pPr>
              <w:spacing w:after="160" w:line="276" w:lineRule="auto"/>
              <w:rPr>
                <w:kern w:val="2"/>
                <w:sz w:val="22"/>
                <w:szCs w:val="22"/>
                <w:lang w:val="fr-FR"/>
              </w:rPr>
            </w:pPr>
            <w:r>
              <w:rPr>
                <w:kern w:val="2"/>
                <w:sz w:val="22"/>
                <w:szCs w:val="22"/>
                <w:lang w:val="fr-FR"/>
              </w:rPr>
              <w:t>4</w:t>
            </w:r>
          </w:p>
        </w:tc>
        <w:tc>
          <w:tcPr>
            <w:tcW w:w="3060" w:type="dxa"/>
          </w:tcPr>
          <w:p w14:paraId="652EB336" w14:textId="77777777" w:rsidR="001B58C7" w:rsidRDefault="000F0E0E">
            <w:pPr>
              <w:spacing w:after="160" w:line="276" w:lineRule="auto"/>
              <w:rPr>
                <w:kern w:val="2"/>
                <w:sz w:val="22"/>
                <w:szCs w:val="22"/>
                <w:lang w:val="fr-FR"/>
              </w:rPr>
            </w:pPr>
            <w:r>
              <w:rPr>
                <w:kern w:val="2"/>
                <w:sz w:val="22"/>
                <w:szCs w:val="22"/>
                <w:lang w:val="fr-FR"/>
              </w:rPr>
              <w:t xml:space="preserve">01 dossier traité au cours de la période sous </w:t>
            </w:r>
            <w:proofErr w:type="gramStart"/>
            <w:r>
              <w:rPr>
                <w:kern w:val="2"/>
                <w:sz w:val="22"/>
                <w:szCs w:val="22"/>
                <w:lang w:val="fr-FR"/>
              </w:rPr>
              <w:t>revue  (</w:t>
            </w:r>
            <w:proofErr w:type="gramEnd"/>
            <w:r>
              <w:rPr>
                <w:kern w:val="2"/>
                <w:sz w:val="22"/>
                <w:szCs w:val="22"/>
                <w:lang w:val="fr-FR"/>
              </w:rPr>
              <w:t>S1, 2026) et 03 dossiers traités au T3,2025. Au total : 04 dossiers traités et jugés.</w:t>
            </w:r>
          </w:p>
        </w:tc>
      </w:tr>
      <w:tr w:rsidR="001B58C7" w:rsidRPr="00ED3A8A" w14:paraId="1D8F9A34" w14:textId="77777777">
        <w:trPr>
          <w:trHeight w:val="548"/>
        </w:trPr>
        <w:tc>
          <w:tcPr>
            <w:tcW w:w="2970" w:type="dxa"/>
            <w:shd w:val="clear" w:color="auto" w:fill="EEECE1"/>
          </w:tcPr>
          <w:p w14:paraId="086AF9FF" w14:textId="77777777" w:rsidR="001B58C7" w:rsidRDefault="000F0E0E">
            <w:pPr>
              <w:spacing w:after="160" w:line="276" w:lineRule="auto"/>
              <w:rPr>
                <w:kern w:val="2"/>
                <w:sz w:val="22"/>
                <w:szCs w:val="22"/>
                <w:lang w:val="fr-FR" w:eastAsia="en-US"/>
              </w:rPr>
            </w:pPr>
            <w:r>
              <w:rPr>
                <w:b/>
                <w:kern w:val="2"/>
                <w:sz w:val="22"/>
                <w:szCs w:val="22"/>
                <w:lang w:val="fr-FR" w:eastAsia="en-US"/>
              </w:rPr>
              <w:t>Indicateur</w:t>
            </w:r>
            <w:r>
              <w:rPr>
                <w:kern w:val="2"/>
                <w:sz w:val="22"/>
                <w:szCs w:val="22"/>
                <w:lang w:val="fr-FR" w:eastAsia="en-US"/>
              </w:rPr>
              <w:t xml:space="preserve"> </w:t>
            </w:r>
            <w:r>
              <w:rPr>
                <w:b/>
                <w:bCs/>
                <w:kern w:val="2"/>
                <w:sz w:val="22"/>
                <w:szCs w:val="22"/>
                <w:lang w:val="fr-FR" w:eastAsia="en-US"/>
              </w:rPr>
              <w:t>2.1.3</w:t>
            </w:r>
          </w:p>
          <w:p w14:paraId="0B055B4B" w14:textId="77777777" w:rsidR="001B58C7" w:rsidRPr="006B740B" w:rsidRDefault="000F0E0E">
            <w:pPr>
              <w:spacing w:after="160" w:line="276" w:lineRule="auto"/>
              <w:rPr>
                <w:bCs/>
                <w:kern w:val="2"/>
                <w:sz w:val="22"/>
                <w:szCs w:val="22"/>
                <w:lang w:val="fr-FR" w:eastAsia="en-US"/>
              </w:rPr>
            </w:pPr>
            <w:r w:rsidRPr="006B740B">
              <w:rPr>
                <w:bCs/>
                <w:kern w:val="2"/>
                <w:sz w:val="22"/>
                <w:szCs w:val="22"/>
                <w:lang w:val="fr-FR" w:eastAsia="en-US"/>
              </w:rPr>
              <w:t>Nombre de décisions judiciaires rendues en matières des crimes de droit international et des violences sexuelles commises en période de conflit.</w:t>
            </w:r>
          </w:p>
        </w:tc>
        <w:tc>
          <w:tcPr>
            <w:tcW w:w="990" w:type="dxa"/>
            <w:shd w:val="clear" w:color="auto" w:fill="EEECE1"/>
          </w:tcPr>
          <w:p w14:paraId="678C13CD" w14:textId="77777777" w:rsidR="001B58C7" w:rsidRDefault="000F0E0E">
            <w:pPr>
              <w:spacing w:after="160" w:line="276" w:lineRule="auto"/>
              <w:rPr>
                <w:kern w:val="2"/>
                <w:sz w:val="22"/>
                <w:szCs w:val="22"/>
                <w:lang w:val="fr-FR"/>
              </w:rPr>
            </w:pPr>
            <w:r>
              <w:rPr>
                <w:b/>
                <w:kern w:val="2"/>
                <w:sz w:val="22"/>
                <w:szCs w:val="22"/>
                <w:lang w:val="fr-FR" w:eastAsia="en-US"/>
              </w:rPr>
              <w:t>3</w:t>
            </w:r>
          </w:p>
        </w:tc>
        <w:tc>
          <w:tcPr>
            <w:tcW w:w="1296" w:type="dxa"/>
            <w:shd w:val="clear" w:color="auto" w:fill="EEECE1"/>
          </w:tcPr>
          <w:p w14:paraId="03E08B39" w14:textId="77777777" w:rsidR="001B58C7" w:rsidRDefault="000F0E0E">
            <w:pPr>
              <w:spacing w:after="160" w:line="276" w:lineRule="auto"/>
              <w:rPr>
                <w:kern w:val="2"/>
                <w:sz w:val="22"/>
                <w:szCs w:val="22"/>
                <w:lang w:val="fr-FR"/>
              </w:rPr>
            </w:pPr>
            <w:r>
              <w:rPr>
                <w:b/>
                <w:kern w:val="2"/>
                <w:sz w:val="22"/>
                <w:szCs w:val="22"/>
                <w:lang w:val="fr-FR" w:eastAsia="en-US"/>
              </w:rPr>
              <w:t>6</w:t>
            </w:r>
          </w:p>
        </w:tc>
        <w:tc>
          <w:tcPr>
            <w:tcW w:w="1134" w:type="dxa"/>
            <w:shd w:val="clear" w:color="auto" w:fill="DEEBF6" w:themeFill="accent5" w:themeFillTint="32"/>
          </w:tcPr>
          <w:p w14:paraId="5849C4D3" w14:textId="77777777" w:rsidR="001B58C7" w:rsidRDefault="000F0E0E">
            <w:pPr>
              <w:spacing w:after="160" w:line="276" w:lineRule="auto"/>
              <w:rPr>
                <w:b/>
                <w:kern w:val="2"/>
                <w:sz w:val="22"/>
                <w:szCs w:val="22"/>
                <w:lang w:val="fr-FR" w:eastAsia="en-US"/>
              </w:rPr>
            </w:pPr>
            <w:r>
              <w:rPr>
                <w:b/>
                <w:kern w:val="2"/>
                <w:sz w:val="22"/>
                <w:szCs w:val="22"/>
                <w:lang w:val="fr-FR" w:eastAsia="en-US"/>
              </w:rPr>
              <w:t>1</w:t>
            </w:r>
          </w:p>
        </w:tc>
        <w:tc>
          <w:tcPr>
            <w:tcW w:w="990" w:type="dxa"/>
            <w:shd w:val="clear" w:color="auto" w:fill="DEEBF6" w:themeFill="accent5" w:themeFillTint="32"/>
          </w:tcPr>
          <w:p w14:paraId="2110B88F" w14:textId="77777777" w:rsidR="001B58C7" w:rsidRDefault="000F0E0E">
            <w:pPr>
              <w:spacing w:after="160" w:line="276" w:lineRule="auto"/>
              <w:rPr>
                <w:kern w:val="2"/>
                <w:sz w:val="22"/>
                <w:szCs w:val="22"/>
                <w:lang w:val="fr-FR"/>
              </w:rPr>
            </w:pPr>
            <w:r>
              <w:rPr>
                <w:kern w:val="2"/>
                <w:sz w:val="22"/>
                <w:szCs w:val="22"/>
                <w:lang w:val="fr-FR"/>
              </w:rPr>
              <w:t>4</w:t>
            </w:r>
          </w:p>
        </w:tc>
        <w:tc>
          <w:tcPr>
            <w:tcW w:w="3060" w:type="dxa"/>
          </w:tcPr>
          <w:p w14:paraId="1984FAA0" w14:textId="77777777" w:rsidR="001B58C7" w:rsidRDefault="000F0E0E">
            <w:pPr>
              <w:spacing w:after="160" w:line="276" w:lineRule="auto"/>
              <w:rPr>
                <w:kern w:val="2"/>
                <w:sz w:val="22"/>
                <w:szCs w:val="22"/>
                <w:lang w:val="fr-FR"/>
              </w:rPr>
            </w:pPr>
            <w:r>
              <w:rPr>
                <w:kern w:val="2"/>
                <w:sz w:val="22"/>
                <w:szCs w:val="22"/>
                <w:lang w:val="fr-FR"/>
              </w:rPr>
              <w:t>01 jugement rendu par le Tribunal militaire de garnison de Tshikapa en mai 2026 et 03 décisions judiciaires prononcées au T3,2025.</w:t>
            </w:r>
          </w:p>
        </w:tc>
      </w:tr>
    </w:tbl>
    <w:p w14:paraId="291B7AB5" w14:textId="77777777" w:rsidR="001B58C7" w:rsidRDefault="001B58C7">
      <w:pPr>
        <w:rPr>
          <w:b/>
          <w:u w:val="single"/>
          <w:lang w:val="fr-FR"/>
        </w:rPr>
      </w:pPr>
    </w:p>
    <w:p w14:paraId="1E3F45FA" w14:textId="77777777" w:rsidR="001B58C7" w:rsidRPr="006B740B" w:rsidRDefault="000F0E0E">
      <w:pPr>
        <w:ind w:left="-360"/>
        <w:jc w:val="both"/>
        <w:rPr>
          <w:b/>
          <w:lang w:val="fr-FR"/>
        </w:rPr>
      </w:pPr>
      <w:r>
        <w:rPr>
          <w:b/>
          <w:u w:val="single"/>
          <w:lang w:val="fr-FR"/>
        </w:rPr>
        <w:t>Produit 2.2 </w:t>
      </w:r>
      <w:r>
        <w:rPr>
          <w:b/>
          <w:lang w:val="fr-FR"/>
        </w:rPr>
        <w:t xml:space="preserve">: </w:t>
      </w:r>
      <w:r w:rsidRPr="006B740B">
        <w:rPr>
          <w:b/>
          <w:lang w:val="fr-FR"/>
        </w:rPr>
        <w:t>La demande de justice est améliorée pour les populations en général et les victimes des crimes de droit international en particulier, favorisant ainsi la résolution pacifique des conflits.</w:t>
      </w:r>
    </w:p>
    <w:p w14:paraId="7C6C4196" w14:textId="77777777" w:rsidR="001B58C7" w:rsidRPr="006B740B" w:rsidRDefault="001B58C7">
      <w:pPr>
        <w:ind w:left="-360"/>
        <w:jc w:val="both"/>
        <w:rPr>
          <w:b/>
          <w:lang w:val="fr-FR"/>
        </w:rPr>
      </w:pPr>
    </w:p>
    <w:tbl>
      <w:tblPr>
        <w:tblW w:w="1044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10"/>
        <w:gridCol w:w="990"/>
        <w:gridCol w:w="1080"/>
        <w:gridCol w:w="1260"/>
        <w:gridCol w:w="2340"/>
        <w:gridCol w:w="2160"/>
      </w:tblGrid>
      <w:tr w:rsidR="001B58C7" w:rsidRPr="00ED3A8A" w14:paraId="790EC211" w14:textId="77777777">
        <w:trPr>
          <w:tblHeader/>
        </w:trPr>
        <w:tc>
          <w:tcPr>
            <w:tcW w:w="2610" w:type="dxa"/>
            <w:shd w:val="clear" w:color="auto" w:fill="EEECE1"/>
          </w:tcPr>
          <w:p w14:paraId="601D196B" w14:textId="77777777" w:rsidR="001B58C7" w:rsidRDefault="000F0E0E">
            <w:pPr>
              <w:spacing w:after="160" w:line="276" w:lineRule="auto"/>
              <w:rPr>
                <w:b/>
                <w:kern w:val="2"/>
                <w:sz w:val="22"/>
                <w:szCs w:val="22"/>
                <w:lang w:val="fr-FR" w:eastAsia="en-US"/>
              </w:rPr>
            </w:pPr>
            <w:r>
              <w:rPr>
                <w:b/>
                <w:kern w:val="2"/>
                <w:sz w:val="22"/>
                <w:szCs w:val="22"/>
                <w:lang w:val="fr-FR" w:eastAsia="en-US"/>
              </w:rPr>
              <w:t>Indicateurs de produit</w:t>
            </w:r>
          </w:p>
        </w:tc>
        <w:tc>
          <w:tcPr>
            <w:tcW w:w="990" w:type="dxa"/>
            <w:shd w:val="clear" w:color="auto" w:fill="EEECE1"/>
          </w:tcPr>
          <w:p w14:paraId="5764F683" w14:textId="77777777" w:rsidR="001B58C7" w:rsidRDefault="000F0E0E">
            <w:pPr>
              <w:spacing w:after="160" w:line="276" w:lineRule="auto"/>
              <w:rPr>
                <w:b/>
                <w:kern w:val="2"/>
                <w:sz w:val="22"/>
                <w:szCs w:val="22"/>
                <w:lang w:val="fr-FR"/>
              </w:rPr>
            </w:pPr>
            <w:r>
              <w:rPr>
                <w:b/>
                <w:kern w:val="2"/>
                <w:sz w:val="22"/>
                <w:szCs w:val="22"/>
                <w:lang w:val="fr-FR"/>
              </w:rPr>
              <w:t>Indicateur de base</w:t>
            </w:r>
          </w:p>
        </w:tc>
        <w:tc>
          <w:tcPr>
            <w:tcW w:w="1080" w:type="dxa"/>
            <w:shd w:val="clear" w:color="auto" w:fill="EEECE1"/>
          </w:tcPr>
          <w:p w14:paraId="5751D4DB" w14:textId="77777777" w:rsidR="001B58C7" w:rsidRDefault="000F0E0E">
            <w:pPr>
              <w:spacing w:after="160" w:line="276" w:lineRule="auto"/>
              <w:rPr>
                <w:b/>
                <w:kern w:val="2"/>
                <w:sz w:val="22"/>
                <w:szCs w:val="22"/>
                <w:lang w:val="fr-FR" w:eastAsia="en-US"/>
              </w:rPr>
            </w:pPr>
            <w:r>
              <w:rPr>
                <w:b/>
                <w:kern w:val="2"/>
                <w:sz w:val="22"/>
                <w:szCs w:val="22"/>
                <w:lang w:val="fr-FR" w:eastAsia="en-US"/>
              </w:rPr>
              <w:t>Cible de fin de projet</w:t>
            </w:r>
          </w:p>
        </w:tc>
        <w:tc>
          <w:tcPr>
            <w:tcW w:w="1260" w:type="dxa"/>
          </w:tcPr>
          <w:p w14:paraId="795FCA85" w14:textId="77777777" w:rsidR="001B58C7" w:rsidRDefault="000F0E0E">
            <w:pPr>
              <w:spacing w:after="160" w:line="276" w:lineRule="auto"/>
              <w:rPr>
                <w:b/>
                <w:bCs/>
                <w:kern w:val="2"/>
                <w:sz w:val="22"/>
                <w:szCs w:val="22"/>
                <w:lang w:val="fr-FR" w:eastAsia="en-US"/>
              </w:rPr>
            </w:pPr>
            <w:r>
              <w:rPr>
                <w:b/>
                <w:bCs/>
                <w:kern w:val="2"/>
                <w:sz w:val="22"/>
                <w:szCs w:val="22"/>
                <w:lang w:val="fr-FR" w:eastAsia="en-US"/>
              </w:rPr>
              <w:t>Progrès de l’indicateur pour la période de référence</w:t>
            </w:r>
          </w:p>
        </w:tc>
        <w:tc>
          <w:tcPr>
            <w:tcW w:w="2340" w:type="dxa"/>
          </w:tcPr>
          <w:p w14:paraId="6AE93EE9" w14:textId="77777777" w:rsidR="001B58C7" w:rsidRDefault="000F0E0E">
            <w:pPr>
              <w:spacing w:after="160" w:line="276" w:lineRule="auto"/>
              <w:rPr>
                <w:b/>
                <w:bCs/>
                <w:kern w:val="2"/>
                <w:sz w:val="22"/>
                <w:szCs w:val="22"/>
                <w:lang w:val="fr-FR" w:eastAsia="en-US"/>
              </w:rPr>
            </w:pPr>
            <w:r>
              <w:rPr>
                <w:b/>
                <w:bCs/>
                <w:kern w:val="2"/>
                <w:sz w:val="22"/>
                <w:szCs w:val="22"/>
                <w:lang w:val="fr-FR" w:eastAsia="en-US"/>
              </w:rPr>
              <w:t>Progrès actuel de l’indicateur depuis le début du projet</w:t>
            </w:r>
          </w:p>
        </w:tc>
        <w:tc>
          <w:tcPr>
            <w:tcW w:w="2160" w:type="dxa"/>
          </w:tcPr>
          <w:p w14:paraId="111F4E62" w14:textId="77777777" w:rsidR="001B58C7" w:rsidRDefault="000F0E0E">
            <w:pPr>
              <w:spacing w:after="160" w:line="276" w:lineRule="auto"/>
              <w:rPr>
                <w:b/>
                <w:kern w:val="2"/>
                <w:sz w:val="22"/>
                <w:szCs w:val="22"/>
                <w:lang w:val="fr-FR" w:eastAsia="en-US"/>
              </w:rPr>
            </w:pPr>
            <w:r>
              <w:rPr>
                <w:b/>
                <w:kern w:val="2"/>
                <w:sz w:val="22"/>
                <w:szCs w:val="22"/>
                <w:lang w:val="fr-FR" w:eastAsia="en-US"/>
              </w:rPr>
              <w:t>Raisons pour les retards ou changements (s'il y en a)</w:t>
            </w:r>
          </w:p>
        </w:tc>
      </w:tr>
      <w:tr w:rsidR="001B58C7" w14:paraId="2F60F0CA" w14:textId="77777777">
        <w:trPr>
          <w:trHeight w:val="1583"/>
        </w:trPr>
        <w:tc>
          <w:tcPr>
            <w:tcW w:w="2610" w:type="dxa"/>
            <w:shd w:val="clear" w:color="auto" w:fill="EEECE1"/>
          </w:tcPr>
          <w:p w14:paraId="4637F66B" w14:textId="77777777" w:rsidR="001B58C7" w:rsidRDefault="000F0E0E">
            <w:pPr>
              <w:spacing w:after="160" w:line="276" w:lineRule="auto"/>
              <w:rPr>
                <w:b/>
                <w:kern w:val="2"/>
                <w:sz w:val="22"/>
                <w:szCs w:val="22"/>
                <w:lang w:val="fr-FR" w:eastAsia="en-US"/>
              </w:rPr>
            </w:pPr>
            <w:r>
              <w:rPr>
                <w:b/>
                <w:kern w:val="2"/>
                <w:sz w:val="22"/>
                <w:szCs w:val="22"/>
                <w:lang w:val="fr-FR" w:eastAsia="en-US"/>
              </w:rPr>
              <w:t>Indicateur 2.2.1</w:t>
            </w:r>
          </w:p>
          <w:p w14:paraId="6BF5449B" w14:textId="77777777" w:rsidR="001B58C7" w:rsidRPr="006B740B" w:rsidRDefault="000F0E0E">
            <w:pPr>
              <w:spacing w:after="160" w:line="276" w:lineRule="auto"/>
              <w:rPr>
                <w:bCs/>
                <w:kern w:val="2"/>
                <w:sz w:val="22"/>
                <w:szCs w:val="22"/>
                <w:lang w:val="fr-FR" w:eastAsia="en-US"/>
              </w:rPr>
            </w:pPr>
            <w:r w:rsidRPr="006B740B">
              <w:rPr>
                <w:bCs/>
                <w:kern w:val="2"/>
                <w:sz w:val="22"/>
                <w:szCs w:val="22"/>
                <w:lang w:val="fr-FR" w:eastAsia="en-US"/>
              </w:rPr>
              <w:t xml:space="preserve">Nombre de victimes ayant bénéficié d’une assistance judiciaire gratuite et d’un accompagnement juridique de qualité. </w:t>
            </w:r>
          </w:p>
        </w:tc>
        <w:tc>
          <w:tcPr>
            <w:tcW w:w="990" w:type="dxa"/>
            <w:shd w:val="clear" w:color="auto" w:fill="EEECE1"/>
          </w:tcPr>
          <w:p w14:paraId="3B55D111" w14:textId="77777777" w:rsidR="001B58C7" w:rsidRDefault="000F0E0E">
            <w:pPr>
              <w:spacing w:after="160" w:line="276" w:lineRule="auto"/>
              <w:rPr>
                <w:kern w:val="2"/>
                <w:sz w:val="22"/>
                <w:szCs w:val="22"/>
                <w:lang w:val="fr-FR" w:eastAsia="en-US"/>
              </w:rPr>
            </w:pPr>
            <w:r>
              <w:rPr>
                <w:b/>
                <w:kern w:val="2"/>
                <w:sz w:val="22"/>
                <w:szCs w:val="22"/>
                <w:lang w:val="fr-FR" w:eastAsia="en-US"/>
              </w:rPr>
              <w:t>400</w:t>
            </w:r>
          </w:p>
        </w:tc>
        <w:tc>
          <w:tcPr>
            <w:tcW w:w="1080" w:type="dxa"/>
            <w:shd w:val="clear" w:color="auto" w:fill="EEECE1"/>
          </w:tcPr>
          <w:p w14:paraId="66423C3C" w14:textId="77777777" w:rsidR="001B58C7" w:rsidRDefault="000F0E0E">
            <w:pPr>
              <w:spacing w:after="160" w:line="276" w:lineRule="auto"/>
              <w:rPr>
                <w:kern w:val="2"/>
                <w:sz w:val="22"/>
                <w:szCs w:val="22"/>
                <w:lang w:val="fr-FR"/>
              </w:rPr>
            </w:pPr>
            <w:r>
              <w:rPr>
                <w:b/>
                <w:kern w:val="2"/>
                <w:sz w:val="22"/>
                <w:szCs w:val="22"/>
                <w:lang w:val="fr-FR" w:eastAsia="en-US"/>
              </w:rPr>
              <w:t>600</w:t>
            </w:r>
          </w:p>
        </w:tc>
        <w:tc>
          <w:tcPr>
            <w:tcW w:w="1260" w:type="dxa"/>
            <w:shd w:val="clear" w:color="auto" w:fill="DEEBF6" w:themeFill="accent5" w:themeFillTint="32"/>
          </w:tcPr>
          <w:p w14:paraId="160DB971" w14:textId="77777777" w:rsidR="001B58C7" w:rsidRDefault="000F0E0E">
            <w:pPr>
              <w:spacing w:after="160" w:line="276" w:lineRule="auto"/>
              <w:rPr>
                <w:b/>
                <w:bCs/>
                <w:kern w:val="2"/>
                <w:sz w:val="22"/>
                <w:szCs w:val="22"/>
                <w:lang w:val="fr-FR" w:eastAsia="en-US"/>
              </w:rPr>
            </w:pPr>
            <w:r>
              <w:rPr>
                <w:b/>
                <w:bCs/>
                <w:kern w:val="2"/>
                <w:sz w:val="22"/>
                <w:szCs w:val="22"/>
                <w:lang w:val="fr-FR" w:eastAsia="en-US"/>
              </w:rPr>
              <w:t>145</w:t>
            </w:r>
          </w:p>
        </w:tc>
        <w:tc>
          <w:tcPr>
            <w:tcW w:w="2340" w:type="dxa"/>
            <w:shd w:val="clear" w:color="auto" w:fill="DEEBF6" w:themeFill="accent5" w:themeFillTint="32"/>
          </w:tcPr>
          <w:p w14:paraId="278FF041" w14:textId="77777777" w:rsidR="001B58C7" w:rsidRDefault="000F0E0E">
            <w:pPr>
              <w:spacing w:after="160" w:line="276" w:lineRule="auto"/>
              <w:rPr>
                <w:b/>
                <w:bCs/>
                <w:kern w:val="2"/>
                <w:sz w:val="22"/>
                <w:szCs w:val="22"/>
                <w:lang w:val="fr-FR" w:eastAsia="en-US"/>
              </w:rPr>
            </w:pPr>
            <w:r>
              <w:rPr>
                <w:b/>
                <w:bCs/>
                <w:kern w:val="2"/>
                <w:sz w:val="22"/>
                <w:szCs w:val="22"/>
                <w:lang w:val="fr-FR" w:eastAsia="en-US"/>
              </w:rPr>
              <w:t xml:space="preserve"> 445</w:t>
            </w:r>
          </w:p>
        </w:tc>
        <w:tc>
          <w:tcPr>
            <w:tcW w:w="2160" w:type="dxa"/>
          </w:tcPr>
          <w:p w14:paraId="5800BD09" w14:textId="77777777" w:rsidR="001B58C7" w:rsidRDefault="001B58C7">
            <w:pPr>
              <w:spacing w:after="160" w:line="276" w:lineRule="auto"/>
              <w:rPr>
                <w:kern w:val="2"/>
                <w:sz w:val="22"/>
                <w:szCs w:val="22"/>
                <w:lang w:val="fr-FR"/>
              </w:rPr>
            </w:pPr>
          </w:p>
        </w:tc>
      </w:tr>
      <w:tr w:rsidR="001B58C7" w:rsidRPr="00ED3A8A" w14:paraId="2190923D" w14:textId="77777777">
        <w:trPr>
          <w:trHeight w:val="548"/>
        </w:trPr>
        <w:tc>
          <w:tcPr>
            <w:tcW w:w="2610" w:type="dxa"/>
            <w:shd w:val="clear" w:color="auto" w:fill="EEECE1"/>
          </w:tcPr>
          <w:p w14:paraId="35024C27" w14:textId="77777777" w:rsidR="001B58C7" w:rsidRDefault="000F0E0E">
            <w:pPr>
              <w:spacing w:after="160" w:line="276" w:lineRule="auto"/>
              <w:rPr>
                <w:b/>
                <w:kern w:val="2"/>
                <w:sz w:val="22"/>
                <w:szCs w:val="22"/>
                <w:lang w:val="fr-FR" w:eastAsia="en-US"/>
              </w:rPr>
            </w:pPr>
            <w:r>
              <w:rPr>
                <w:b/>
                <w:kern w:val="2"/>
                <w:sz w:val="22"/>
                <w:szCs w:val="22"/>
                <w:lang w:val="fr-FR" w:eastAsia="en-US"/>
              </w:rPr>
              <w:t>Indicateur 2.2.2</w:t>
            </w:r>
          </w:p>
          <w:p w14:paraId="343034AF" w14:textId="77777777" w:rsidR="001B58C7" w:rsidRPr="006B740B" w:rsidRDefault="000F0E0E">
            <w:pPr>
              <w:spacing w:after="160" w:line="276" w:lineRule="auto"/>
              <w:rPr>
                <w:kern w:val="2"/>
                <w:sz w:val="22"/>
                <w:szCs w:val="22"/>
                <w:lang w:val="fr-FR" w:eastAsia="en-US"/>
              </w:rPr>
            </w:pPr>
            <w:r w:rsidRPr="006B740B">
              <w:rPr>
                <w:kern w:val="2"/>
                <w:sz w:val="22"/>
                <w:szCs w:val="22"/>
                <w:lang w:val="fr-FR" w:eastAsia="en-US"/>
              </w:rPr>
              <w:lastRenderedPageBreak/>
              <w:t xml:space="preserve">Nombre de prévenus ayant bénéficié d’une assistance judiciaire gratuite et d’un accompagnement juridique de qualité. </w:t>
            </w:r>
          </w:p>
        </w:tc>
        <w:tc>
          <w:tcPr>
            <w:tcW w:w="990" w:type="dxa"/>
            <w:shd w:val="clear" w:color="auto" w:fill="EEECE1"/>
          </w:tcPr>
          <w:p w14:paraId="3861E01D" w14:textId="77777777" w:rsidR="001B58C7" w:rsidRDefault="000F0E0E">
            <w:pPr>
              <w:spacing w:after="160" w:line="276" w:lineRule="auto"/>
              <w:rPr>
                <w:b/>
                <w:bCs/>
                <w:kern w:val="2"/>
                <w:sz w:val="22"/>
                <w:szCs w:val="22"/>
                <w:lang w:val="fr-FR"/>
              </w:rPr>
            </w:pPr>
            <w:r>
              <w:rPr>
                <w:b/>
                <w:bCs/>
                <w:kern w:val="2"/>
                <w:sz w:val="22"/>
                <w:szCs w:val="22"/>
                <w:lang w:val="fr-FR"/>
              </w:rPr>
              <w:lastRenderedPageBreak/>
              <w:t>30</w:t>
            </w:r>
          </w:p>
        </w:tc>
        <w:tc>
          <w:tcPr>
            <w:tcW w:w="1080" w:type="dxa"/>
            <w:shd w:val="clear" w:color="auto" w:fill="EEECE1"/>
          </w:tcPr>
          <w:p w14:paraId="1DDF7767" w14:textId="77777777" w:rsidR="001B58C7" w:rsidRDefault="000F0E0E">
            <w:pPr>
              <w:spacing w:after="160" w:line="276" w:lineRule="auto"/>
              <w:rPr>
                <w:kern w:val="2"/>
                <w:sz w:val="22"/>
                <w:szCs w:val="22"/>
                <w:lang w:val="fr-FR"/>
              </w:rPr>
            </w:pPr>
            <w:r>
              <w:rPr>
                <w:b/>
                <w:kern w:val="2"/>
                <w:sz w:val="22"/>
                <w:szCs w:val="22"/>
                <w:lang w:val="fr-FR" w:eastAsia="en-US"/>
              </w:rPr>
              <w:t>60</w:t>
            </w:r>
          </w:p>
        </w:tc>
        <w:tc>
          <w:tcPr>
            <w:tcW w:w="1260" w:type="dxa"/>
            <w:shd w:val="clear" w:color="auto" w:fill="DEEBF6" w:themeFill="accent5" w:themeFillTint="32"/>
          </w:tcPr>
          <w:p w14:paraId="20F46D1B" w14:textId="77777777" w:rsidR="001B58C7" w:rsidRDefault="000F0E0E">
            <w:pPr>
              <w:spacing w:after="160" w:line="276" w:lineRule="auto"/>
              <w:rPr>
                <w:b/>
                <w:bCs/>
                <w:kern w:val="2"/>
                <w:sz w:val="22"/>
                <w:szCs w:val="22"/>
                <w:lang w:val="fr-FR" w:eastAsia="en-US"/>
              </w:rPr>
            </w:pPr>
            <w:r>
              <w:rPr>
                <w:b/>
                <w:bCs/>
                <w:kern w:val="2"/>
                <w:sz w:val="22"/>
                <w:szCs w:val="22"/>
                <w:lang w:val="fr-FR" w:eastAsia="en-US"/>
              </w:rPr>
              <w:t>03</w:t>
            </w:r>
          </w:p>
        </w:tc>
        <w:tc>
          <w:tcPr>
            <w:tcW w:w="2340" w:type="dxa"/>
            <w:shd w:val="clear" w:color="auto" w:fill="DEEBF6" w:themeFill="accent5" w:themeFillTint="32"/>
          </w:tcPr>
          <w:p w14:paraId="5C0A719C" w14:textId="77777777" w:rsidR="001B58C7" w:rsidRDefault="000F0E0E">
            <w:pPr>
              <w:spacing w:after="160" w:line="276" w:lineRule="auto"/>
              <w:rPr>
                <w:kern w:val="2"/>
                <w:sz w:val="22"/>
                <w:szCs w:val="22"/>
                <w:lang w:val="fr-FR"/>
              </w:rPr>
            </w:pPr>
            <w:r>
              <w:rPr>
                <w:b/>
                <w:bCs/>
                <w:kern w:val="2"/>
                <w:sz w:val="22"/>
                <w:szCs w:val="22"/>
                <w:lang w:val="fr-FR" w:eastAsia="en-US"/>
              </w:rPr>
              <w:t>15</w:t>
            </w:r>
          </w:p>
        </w:tc>
        <w:tc>
          <w:tcPr>
            <w:tcW w:w="2160" w:type="dxa"/>
          </w:tcPr>
          <w:p w14:paraId="17B54E7B" w14:textId="77777777" w:rsidR="001B58C7" w:rsidRDefault="000F0E0E">
            <w:pPr>
              <w:spacing w:after="160" w:line="276" w:lineRule="auto"/>
              <w:rPr>
                <w:kern w:val="2"/>
                <w:sz w:val="22"/>
                <w:szCs w:val="22"/>
                <w:lang w:val="fr-FR"/>
              </w:rPr>
            </w:pPr>
            <w:r>
              <w:rPr>
                <w:kern w:val="2"/>
                <w:sz w:val="22"/>
                <w:szCs w:val="22"/>
                <w:lang w:val="fr-FR"/>
              </w:rPr>
              <w:t xml:space="preserve">03 prévenus assistés en audience publique </w:t>
            </w:r>
            <w:r>
              <w:rPr>
                <w:kern w:val="2"/>
                <w:sz w:val="22"/>
                <w:szCs w:val="22"/>
                <w:lang w:val="fr-FR"/>
              </w:rPr>
              <w:lastRenderedPageBreak/>
              <w:t>à LUKUAYA (TMG de Tshikapa).</w:t>
            </w:r>
          </w:p>
        </w:tc>
      </w:tr>
      <w:tr w:rsidR="001B58C7" w:rsidRPr="00ED3A8A" w14:paraId="014E4E24" w14:textId="77777777">
        <w:trPr>
          <w:trHeight w:val="548"/>
        </w:trPr>
        <w:tc>
          <w:tcPr>
            <w:tcW w:w="2610" w:type="dxa"/>
            <w:shd w:val="clear" w:color="auto" w:fill="EEECE1"/>
          </w:tcPr>
          <w:p w14:paraId="4246E190" w14:textId="77777777" w:rsidR="001B58C7" w:rsidRDefault="000F0E0E">
            <w:pPr>
              <w:spacing w:after="160" w:line="276" w:lineRule="auto"/>
              <w:rPr>
                <w:b/>
                <w:kern w:val="2"/>
                <w:sz w:val="22"/>
                <w:szCs w:val="22"/>
                <w:lang w:val="fr-FR" w:eastAsia="en-US"/>
              </w:rPr>
            </w:pPr>
            <w:r>
              <w:rPr>
                <w:b/>
                <w:kern w:val="2"/>
                <w:sz w:val="22"/>
                <w:szCs w:val="22"/>
                <w:lang w:val="fr-FR" w:eastAsia="en-US"/>
              </w:rPr>
              <w:lastRenderedPageBreak/>
              <w:t>Indicateur 2.2.3</w:t>
            </w:r>
          </w:p>
          <w:p w14:paraId="34481C04" w14:textId="77777777" w:rsidR="001B58C7" w:rsidRPr="006B740B" w:rsidRDefault="000F0E0E">
            <w:pPr>
              <w:spacing w:after="160" w:line="276" w:lineRule="auto"/>
              <w:rPr>
                <w:kern w:val="2"/>
                <w:sz w:val="22"/>
                <w:szCs w:val="22"/>
                <w:lang w:val="fr-FR" w:eastAsia="en-US"/>
              </w:rPr>
            </w:pPr>
            <w:r w:rsidRPr="006B740B">
              <w:rPr>
                <w:kern w:val="2"/>
                <w:sz w:val="22"/>
                <w:szCs w:val="22"/>
                <w:lang w:val="fr-FR" w:eastAsia="en-US"/>
              </w:rPr>
              <w:t>Nombre de dossiers déposés en justice dont la documentation a été réalisée par une ONG ou une organisation de la société civile ont fait l’objet d’une décision judiciaire</w:t>
            </w:r>
          </w:p>
        </w:tc>
        <w:tc>
          <w:tcPr>
            <w:tcW w:w="990" w:type="dxa"/>
            <w:shd w:val="clear" w:color="auto" w:fill="EEECE1"/>
          </w:tcPr>
          <w:p w14:paraId="4D67A2F7" w14:textId="77777777" w:rsidR="001B58C7" w:rsidRDefault="000F0E0E">
            <w:pPr>
              <w:spacing w:after="160" w:line="276" w:lineRule="auto"/>
              <w:rPr>
                <w:kern w:val="2"/>
                <w:sz w:val="22"/>
                <w:szCs w:val="22"/>
                <w:lang w:val="fr-FR"/>
              </w:rPr>
            </w:pPr>
            <w:r>
              <w:rPr>
                <w:b/>
                <w:kern w:val="2"/>
                <w:sz w:val="22"/>
                <w:szCs w:val="22"/>
                <w:lang w:val="fr-FR" w:eastAsia="en-US"/>
              </w:rPr>
              <w:t>00</w:t>
            </w:r>
          </w:p>
        </w:tc>
        <w:tc>
          <w:tcPr>
            <w:tcW w:w="1080" w:type="dxa"/>
            <w:shd w:val="clear" w:color="auto" w:fill="EEECE1"/>
          </w:tcPr>
          <w:p w14:paraId="1BE3AB95" w14:textId="77777777" w:rsidR="001B58C7" w:rsidRDefault="000F0E0E">
            <w:pPr>
              <w:spacing w:after="160" w:line="276" w:lineRule="auto"/>
              <w:rPr>
                <w:b/>
                <w:bCs/>
                <w:kern w:val="2"/>
                <w:sz w:val="22"/>
                <w:szCs w:val="22"/>
                <w:lang w:val="fr-FR"/>
              </w:rPr>
            </w:pPr>
            <w:r>
              <w:rPr>
                <w:b/>
                <w:bCs/>
                <w:kern w:val="2"/>
                <w:sz w:val="22"/>
                <w:szCs w:val="22"/>
                <w:lang w:val="fr-FR"/>
              </w:rPr>
              <w:t>02</w:t>
            </w:r>
          </w:p>
        </w:tc>
        <w:tc>
          <w:tcPr>
            <w:tcW w:w="1260" w:type="dxa"/>
            <w:shd w:val="clear" w:color="auto" w:fill="BDD6EE" w:themeFill="accent5" w:themeFillTint="66"/>
          </w:tcPr>
          <w:p w14:paraId="083A4268" w14:textId="77777777" w:rsidR="001B58C7" w:rsidRDefault="000F0E0E">
            <w:pPr>
              <w:spacing w:after="160" w:line="276" w:lineRule="auto"/>
              <w:rPr>
                <w:b/>
                <w:bCs/>
                <w:kern w:val="2"/>
                <w:sz w:val="22"/>
                <w:szCs w:val="22"/>
                <w:lang w:val="fr-FR" w:eastAsia="en-US"/>
              </w:rPr>
            </w:pPr>
            <w:r>
              <w:rPr>
                <w:b/>
                <w:bCs/>
                <w:kern w:val="2"/>
                <w:sz w:val="22"/>
                <w:szCs w:val="22"/>
                <w:lang w:val="fr-FR" w:eastAsia="en-US"/>
              </w:rPr>
              <w:t xml:space="preserve"> 02</w:t>
            </w:r>
          </w:p>
        </w:tc>
        <w:tc>
          <w:tcPr>
            <w:tcW w:w="2340" w:type="dxa"/>
            <w:shd w:val="clear" w:color="auto" w:fill="BDD6EE" w:themeFill="accent5" w:themeFillTint="66"/>
          </w:tcPr>
          <w:p w14:paraId="3E124A00" w14:textId="77777777" w:rsidR="001B58C7" w:rsidRDefault="000F0E0E">
            <w:pPr>
              <w:spacing w:after="160" w:line="276" w:lineRule="auto"/>
              <w:rPr>
                <w:b/>
                <w:bCs/>
                <w:kern w:val="2"/>
                <w:sz w:val="22"/>
                <w:szCs w:val="22"/>
                <w:lang w:val="fr-FR"/>
              </w:rPr>
            </w:pPr>
            <w:r>
              <w:rPr>
                <w:b/>
                <w:bCs/>
                <w:kern w:val="2"/>
                <w:sz w:val="22"/>
                <w:szCs w:val="22"/>
                <w:lang w:val="fr-FR"/>
              </w:rPr>
              <w:t>02</w:t>
            </w:r>
          </w:p>
        </w:tc>
        <w:tc>
          <w:tcPr>
            <w:tcW w:w="2160" w:type="dxa"/>
          </w:tcPr>
          <w:p w14:paraId="5EADC102" w14:textId="77777777" w:rsidR="001B58C7" w:rsidRDefault="000F0E0E">
            <w:pPr>
              <w:spacing w:after="160" w:line="276" w:lineRule="auto"/>
              <w:rPr>
                <w:kern w:val="2"/>
                <w:sz w:val="22"/>
                <w:szCs w:val="22"/>
                <w:lang w:val="fr-FR"/>
              </w:rPr>
            </w:pPr>
            <w:r>
              <w:rPr>
                <w:kern w:val="2"/>
                <w:sz w:val="22"/>
                <w:szCs w:val="22"/>
                <w:lang w:val="fr-FR"/>
              </w:rPr>
              <w:t xml:space="preserve"> </w:t>
            </w:r>
          </w:p>
          <w:p w14:paraId="4AD24FDA" w14:textId="77777777" w:rsidR="001B58C7" w:rsidRDefault="000F0E0E">
            <w:pPr>
              <w:spacing w:after="160" w:line="276" w:lineRule="auto"/>
              <w:rPr>
                <w:kern w:val="2"/>
                <w:sz w:val="22"/>
                <w:szCs w:val="22"/>
                <w:lang w:val="fr-FR"/>
              </w:rPr>
            </w:pPr>
            <w:r>
              <w:rPr>
                <w:kern w:val="2"/>
                <w:sz w:val="22"/>
                <w:szCs w:val="22"/>
                <w:lang w:val="fr-FR"/>
              </w:rPr>
              <w:t>Synergie avec TRIAL International et les ONG nationales de documentation (Dossiers LUKOMBO et LUKUAYA) au KASAI.</w:t>
            </w:r>
          </w:p>
        </w:tc>
      </w:tr>
      <w:tr w:rsidR="001B58C7" w:rsidRPr="00ED3A8A" w14:paraId="0C5F3E5B" w14:textId="77777777">
        <w:trPr>
          <w:trHeight w:val="548"/>
        </w:trPr>
        <w:tc>
          <w:tcPr>
            <w:tcW w:w="2610" w:type="dxa"/>
            <w:shd w:val="clear" w:color="auto" w:fill="EEECE1"/>
          </w:tcPr>
          <w:p w14:paraId="34187CCB" w14:textId="77777777" w:rsidR="001B58C7" w:rsidRDefault="000F0E0E">
            <w:pPr>
              <w:spacing w:after="160" w:line="276" w:lineRule="auto"/>
              <w:rPr>
                <w:b/>
                <w:kern w:val="2"/>
                <w:sz w:val="22"/>
                <w:szCs w:val="22"/>
                <w:lang w:val="fr-FR" w:eastAsia="en-US"/>
              </w:rPr>
            </w:pPr>
            <w:r>
              <w:rPr>
                <w:b/>
                <w:kern w:val="2"/>
                <w:sz w:val="22"/>
                <w:szCs w:val="22"/>
                <w:lang w:val="fr-FR" w:eastAsia="en-US"/>
              </w:rPr>
              <w:t>Indicateur 2.2.4</w:t>
            </w:r>
          </w:p>
          <w:p w14:paraId="2A7836B0" w14:textId="77777777" w:rsidR="001B58C7" w:rsidRPr="006B740B" w:rsidRDefault="000F0E0E">
            <w:pPr>
              <w:spacing w:after="160" w:line="276" w:lineRule="auto"/>
              <w:rPr>
                <w:b/>
                <w:kern w:val="2"/>
                <w:sz w:val="22"/>
                <w:szCs w:val="22"/>
                <w:lang w:val="fr-FR" w:eastAsia="en-US"/>
              </w:rPr>
            </w:pPr>
            <w:r w:rsidRPr="006B740B">
              <w:rPr>
                <w:kern w:val="2"/>
                <w:sz w:val="22"/>
                <w:szCs w:val="22"/>
                <w:lang w:val="fr-FR" w:eastAsia="en-US"/>
              </w:rPr>
              <w:t xml:space="preserve">Nombre d’accords obtenus à la suite d'un processus conventionnel des différends soumis à l'homologation du juge. </w:t>
            </w:r>
          </w:p>
        </w:tc>
        <w:tc>
          <w:tcPr>
            <w:tcW w:w="990" w:type="dxa"/>
            <w:shd w:val="clear" w:color="auto" w:fill="EEECE1"/>
          </w:tcPr>
          <w:p w14:paraId="60D6D318" w14:textId="77777777" w:rsidR="001B58C7" w:rsidRDefault="000F0E0E">
            <w:pPr>
              <w:spacing w:after="160" w:line="276" w:lineRule="auto"/>
              <w:rPr>
                <w:b/>
                <w:kern w:val="2"/>
                <w:sz w:val="22"/>
                <w:szCs w:val="22"/>
                <w:lang w:val="fr-FR" w:eastAsia="en-US"/>
              </w:rPr>
            </w:pPr>
            <w:r>
              <w:rPr>
                <w:b/>
                <w:kern w:val="2"/>
                <w:sz w:val="22"/>
                <w:szCs w:val="22"/>
                <w:lang w:val="fr-FR" w:eastAsia="en-US"/>
              </w:rPr>
              <w:t>00</w:t>
            </w:r>
          </w:p>
        </w:tc>
        <w:tc>
          <w:tcPr>
            <w:tcW w:w="1080" w:type="dxa"/>
            <w:shd w:val="clear" w:color="auto" w:fill="EEECE1"/>
          </w:tcPr>
          <w:p w14:paraId="2C6D170D" w14:textId="77777777" w:rsidR="001B58C7" w:rsidRDefault="000F0E0E">
            <w:pPr>
              <w:spacing w:after="160" w:line="276" w:lineRule="auto"/>
              <w:rPr>
                <w:b/>
                <w:kern w:val="2"/>
                <w:sz w:val="22"/>
                <w:szCs w:val="22"/>
                <w:lang w:val="fr-FR" w:eastAsia="en-US"/>
              </w:rPr>
            </w:pPr>
            <w:r>
              <w:rPr>
                <w:b/>
                <w:kern w:val="2"/>
                <w:sz w:val="22"/>
                <w:szCs w:val="22"/>
                <w:lang w:val="fr-FR" w:eastAsia="en-US"/>
              </w:rPr>
              <w:t>04</w:t>
            </w:r>
          </w:p>
        </w:tc>
        <w:tc>
          <w:tcPr>
            <w:tcW w:w="1260" w:type="dxa"/>
            <w:shd w:val="clear" w:color="auto" w:fill="E2EFD9" w:themeFill="accent6" w:themeFillTint="32"/>
          </w:tcPr>
          <w:p w14:paraId="701A08EA" w14:textId="77777777" w:rsidR="001B58C7" w:rsidRDefault="000F0E0E">
            <w:pPr>
              <w:spacing w:after="160" w:line="276" w:lineRule="auto"/>
              <w:rPr>
                <w:b/>
                <w:kern w:val="2"/>
                <w:sz w:val="22"/>
                <w:szCs w:val="22"/>
                <w:lang w:val="fr-FR" w:eastAsia="en-US"/>
              </w:rPr>
            </w:pPr>
            <w:r>
              <w:rPr>
                <w:b/>
                <w:kern w:val="2"/>
                <w:sz w:val="22"/>
                <w:szCs w:val="22"/>
                <w:lang w:val="fr-FR" w:eastAsia="en-US"/>
              </w:rPr>
              <w:t>00</w:t>
            </w:r>
          </w:p>
        </w:tc>
        <w:tc>
          <w:tcPr>
            <w:tcW w:w="2340" w:type="dxa"/>
            <w:shd w:val="clear" w:color="auto" w:fill="E2EFD9" w:themeFill="accent6" w:themeFillTint="32"/>
          </w:tcPr>
          <w:p w14:paraId="31D4E5E1" w14:textId="77777777" w:rsidR="001B58C7" w:rsidRDefault="000F0E0E">
            <w:pPr>
              <w:spacing w:after="160" w:line="276" w:lineRule="auto"/>
              <w:rPr>
                <w:b/>
                <w:kern w:val="2"/>
                <w:sz w:val="22"/>
                <w:szCs w:val="22"/>
                <w:lang w:val="fr-FR" w:eastAsia="en-US"/>
              </w:rPr>
            </w:pPr>
            <w:r>
              <w:rPr>
                <w:b/>
                <w:kern w:val="2"/>
                <w:sz w:val="22"/>
                <w:szCs w:val="22"/>
                <w:lang w:val="fr-FR" w:eastAsia="en-US"/>
              </w:rPr>
              <w:t>00</w:t>
            </w:r>
          </w:p>
        </w:tc>
        <w:tc>
          <w:tcPr>
            <w:tcW w:w="2160" w:type="dxa"/>
            <w:shd w:val="clear" w:color="auto" w:fill="E2EFD9" w:themeFill="accent6" w:themeFillTint="32"/>
          </w:tcPr>
          <w:p w14:paraId="4F83BFBB" w14:textId="77777777" w:rsidR="001B58C7" w:rsidRDefault="000F0E0E">
            <w:pPr>
              <w:spacing w:after="160" w:line="276" w:lineRule="auto"/>
              <w:rPr>
                <w:b/>
                <w:bCs/>
                <w:kern w:val="2"/>
                <w:sz w:val="22"/>
                <w:szCs w:val="22"/>
                <w:lang w:val="fr-FR" w:eastAsia="en-US"/>
              </w:rPr>
            </w:pPr>
            <w:r>
              <w:rPr>
                <w:kern w:val="2"/>
                <w:sz w:val="22"/>
                <w:szCs w:val="22"/>
                <w:lang w:val="fr-FR" w:eastAsia="en-US"/>
              </w:rPr>
              <w:t>Activités non encore réalisées - non appuyées. TDR et mémo en étude avec les Tribunaux de paix.</w:t>
            </w:r>
          </w:p>
        </w:tc>
      </w:tr>
    </w:tbl>
    <w:p w14:paraId="3CE7DF3B" w14:textId="77777777" w:rsidR="001B58C7" w:rsidRDefault="001B58C7">
      <w:pPr>
        <w:ind w:left="-720"/>
        <w:rPr>
          <w:b/>
          <w:u w:val="single"/>
          <w:lang w:val="fr-FR"/>
        </w:rPr>
      </w:pPr>
    </w:p>
    <w:p w14:paraId="266BC0CA" w14:textId="77777777" w:rsidR="001B58C7" w:rsidRPr="006B740B" w:rsidRDefault="000F0E0E">
      <w:pPr>
        <w:ind w:left="-450"/>
        <w:jc w:val="both"/>
        <w:rPr>
          <w:lang w:val="fr-FR"/>
        </w:rPr>
      </w:pPr>
      <w:r>
        <w:rPr>
          <w:b/>
          <w:bCs/>
          <w:u w:val="single"/>
          <w:lang w:val="fr"/>
        </w:rPr>
        <w:t>Résultat 3 :</w:t>
      </w:r>
      <w:r>
        <w:rPr>
          <w:b/>
          <w:bCs/>
          <w:lang w:val="fr"/>
        </w:rPr>
        <w:t xml:space="preserve"> Le monitoring de l’environnement protecteur et les mécanismes communautaires de prévention et gestion, règlement et transformation pacifiques des conflits sont soutenus et renforcés en faveur des populations les plus vulnérables </w:t>
      </w:r>
    </w:p>
    <w:p w14:paraId="0ECFBD82" w14:textId="77777777" w:rsidR="001B58C7" w:rsidRPr="006B740B" w:rsidRDefault="000F0E0E">
      <w:pPr>
        <w:rPr>
          <w:lang w:val="fr-FR"/>
        </w:rPr>
      </w:pPr>
      <w:r>
        <w:rPr>
          <w:b/>
          <w:bCs/>
          <w:lang w:val="fr"/>
        </w:rPr>
        <w:t xml:space="preserve"> </w:t>
      </w:r>
    </w:p>
    <w:tbl>
      <w:tblPr>
        <w:tblW w:w="10440" w:type="dxa"/>
        <w:tblInd w:w="-730" w:type="dxa"/>
        <w:tblLayout w:type="fixed"/>
        <w:tblLook w:val="04A0" w:firstRow="1" w:lastRow="0" w:firstColumn="1" w:lastColumn="0" w:noHBand="0" w:noVBand="1"/>
      </w:tblPr>
      <w:tblGrid>
        <w:gridCol w:w="2430"/>
        <w:gridCol w:w="1080"/>
        <w:gridCol w:w="1260"/>
        <w:gridCol w:w="1350"/>
        <w:gridCol w:w="2520"/>
        <w:gridCol w:w="1800"/>
      </w:tblGrid>
      <w:tr w:rsidR="001B58C7" w:rsidRPr="00ED3A8A" w14:paraId="51A34E40" w14:textId="77777777">
        <w:trPr>
          <w:trHeight w:val="300"/>
        </w:trPr>
        <w:tc>
          <w:tcPr>
            <w:tcW w:w="24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52A5D993" w14:textId="77777777" w:rsidR="001B58C7" w:rsidRDefault="000F0E0E">
            <w:pPr>
              <w:spacing w:after="160" w:line="276" w:lineRule="auto"/>
              <w:rPr>
                <w:kern w:val="2"/>
                <w:sz w:val="22"/>
                <w:szCs w:val="22"/>
              </w:rPr>
            </w:pPr>
            <w:r>
              <w:rPr>
                <w:b/>
                <w:bCs/>
                <w:color w:val="000000" w:themeColor="text1"/>
                <w:kern w:val="2"/>
                <w:sz w:val="22"/>
                <w:szCs w:val="22"/>
                <w:lang w:val="fr"/>
              </w:rPr>
              <w:t>Indicateurs de résultat</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3F98C2D4" w14:textId="77777777" w:rsidR="001B58C7" w:rsidRDefault="000F0E0E">
            <w:pPr>
              <w:spacing w:after="160" w:line="276" w:lineRule="auto"/>
              <w:rPr>
                <w:kern w:val="2"/>
                <w:sz w:val="22"/>
                <w:szCs w:val="22"/>
              </w:rPr>
            </w:pPr>
            <w:r>
              <w:rPr>
                <w:b/>
                <w:bCs/>
                <w:color w:val="000000" w:themeColor="text1"/>
                <w:kern w:val="2"/>
                <w:sz w:val="22"/>
                <w:szCs w:val="22"/>
                <w:lang w:val="fr"/>
              </w:rPr>
              <w:t>Indicateur de base</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62772477" w14:textId="77777777" w:rsidR="001B58C7" w:rsidRPr="006B740B" w:rsidRDefault="000F0E0E">
            <w:pPr>
              <w:spacing w:after="160" w:line="276" w:lineRule="auto"/>
              <w:rPr>
                <w:kern w:val="2"/>
                <w:sz w:val="22"/>
                <w:szCs w:val="22"/>
                <w:lang w:val="fr-FR"/>
              </w:rPr>
            </w:pPr>
            <w:r>
              <w:rPr>
                <w:b/>
                <w:bCs/>
                <w:color w:val="000000" w:themeColor="text1"/>
                <w:kern w:val="2"/>
                <w:sz w:val="22"/>
                <w:szCs w:val="22"/>
                <w:lang w:val="fr"/>
              </w:rPr>
              <w:t>Cible de fin de projet</w:t>
            </w:r>
          </w:p>
        </w:tc>
        <w:tc>
          <w:tcPr>
            <w:tcW w:w="13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FBEE730" w14:textId="77777777" w:rsidR="001B58C7" w:rsidRPr="006B740B" w:rsidRDefault="000F0E0E">
            <w:pPr>
              <w:spacing w:after="160" w:line="276" w:lineRule="auto"/>
              <w:rPr>
                <w:kern w:val="2"/>
                <w:sz w:val="22"/>
                <w:szCs w:val="22"/>
                <w:lang w:val="fr-FR"/>
              </w:rPr>
            </w:pPr>
            <w:r>
              <w:rPr>
                <w:b/>
                <w:bCs/>
                <w:kern w:val="2"/>
                <w:sz w:val="22"/>
                <w:szCs w:val="22"/>
                <w:lang w:val="fr"/>
              </w:rPr>
              <w:t>Progrès de l’indicateur pour la période de référence</w:t>
            </w:r>
          </w:p>
          <w:p w14:paraId="29B7DCE1" w14:textId="77777777" w:rsidR="001B58C7" w:rsidRPr="006B740B" w:rsidRDefault="000F0E0E">
            <w:pPr>
              <w:spacing w:after="160" w:line="276" w:lineRule="auto"/>
              <w:rPr>
                <w:kern w:val="2"/>
                <w:sz w:val="22"/>
                <w:szCs w:val="22"/>
                <w:lang w:val="fr-FR"/>
              </w:rPr>
            </w:pPr>
            <w:r>
              <w:rPr>
                <w:b/>
                <w:bCs/>
                <w:kern w:val="2"/>
                <w:sz w:val="22"/>
                <w:szCs w:val="22"/>
                <w:lang w:val="fr"/>
              </w:rPr>
              <w:t xml:space="preserve"> </w:t>
            </w:r>
          </w:p>
        </w:tc>
        <w:tc>
          <w:tcPr>
            <w:tcW w:w="25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A15F4F" w14:textId="77777777" w:rsidR="001B58C7" w:rsidRPr="006B740B" w:rsidRDefault="000F0E0E">
            <w:pPr>
              <w:spacing w:after="160" w:line="276" w:lineRule="auto"/>
              <w:rPr>
                <w:kern w:val="2"/>
                <w:sz w:val="22"/>
                <w:szCs w:val="22"/>
                <w:lang w:val="fr-FR"/>
              </w:rPr>
            </w:pPr>
            <w:r>
              <w:rPr>
                <w:b/>
                <w:bCs/>
                <w:kern w:val="2"/>
                <w:sz w:val="22"/>
                <w:szCs w:val="22"/>
                <w:lang w:val="fr"/>
              </w:rPr>
              <w:t>Progrès de l’indicateur depuis le début du projet</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2D21CB0" w14:textId="77777777" w:rsidR="001B58C7" w:rsidRPr="006B740B" w:rsidRDefault="000F0E0E">
            <w:pPr>
              <w:spacing w:after="160" w:line="276" w:lineRule="auto"/>
              <w:rPr>
                <w:kern w:val="2"/>
                <w:sz w:val="22"/>
                <w:szCs w:val="22"/>
                <w:lang w:val="fr-FR"/>
              </w:rPr>
            </w:pPr>
            <w:r>
              <w:rPr>
                <w:b/>
                <w:bCs/>
                <w:kern w:val="2"/>
                <w:sz w:val="22"/>
                <w:szCs w:val="22"/>
                <w:lang w:val="fr"/>
              </w:rPr>
              <w:t>Raisons pour les retards ou changements (s'il y en a)</w:t>
            </w:r>
          </w:p>
        </w:tc>
      </w:tr>
      <w:tr w:rsidR="001B58C7" w14:paraId="501C0FF4" w14:textId="77777777">
        <w:trPr>
          <w:trHeight w:val="300"/>
        </w:trPr>
        <w:tc>
          <w:tcPr>
            <w:tcW w:w="24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00FDBD94" w14:textId="77777777" w:rsidR="001B58C7" w:rsidRPr="006B740B" w:rsidRDefault="000F0E0E">
            <w:pPr>
              <w:spacing w:after="160" w:line="276" w:lineRule="auto"/>
              <w:rPr>
                <w:kern w:val="2"/>
                <w:sz w:val="22"/>
                <w:szCs w:val="22"/>
                <w:lang w:val="fr-FR"/>
              </w:rPr>
            </w:pPr>
            <w:r>
              <w:rPr>
                <w:b/>
                <w:bCs/>
                <w:kern w:val="2"/>
                <w:sz w:val="22"/>
                <w:szCs w:val="22"/>
                <w:lang w:val="fr"/>
              </w:rPr>
              <w:t>Indicateur</w:t>
            </w:r>
            <w:r>
              <w:rPr>
                <w:kern w:val="2"/>
                <w:sz w:val="22"/>
                <w:szCs w:val="22"/>
                <w:lang w:val="fr"/>
              </w:rPr>
              <w:t xml:space="preserve"> </w:t>
            </w:r>
            <w:r>
              <w:rPr>
                <w:b/>
                <w:bCs/>
                <w:kern w:val="2"/>
                <w:sz w:val="22"/>
                <w:szCs w:val="22"/>
                <w:lang w:val="fr"/>
              </w:rPr>
              <w:t>3.1.</w:t>
            </w:r>
          </w:p>
          <w:p w14:paraId="215E9675" w14:textId="77777777" w:rsidR="001B58C7" w:rsidRPr="006B740B" w:rsidRDefault="000F0E0E">
            <w:pPr>
              <w:spacing w:after="160" w:line="276" w:lineRule="auto"/>
              <w:rPr>
                <w:kern w:val="2"/>
                <w:sz w:val="22"/>
                <w:szCs w:val="22"/>
                <w:lang w:val="fr-FR"/>
              </w:rPr>
            </w:pPr>
            <w:r>
              <w:rPr>
                <w:kern w:val="2"/>
                <w:sz w:val="22"/>
                <w:szCs w:val="22"/>
                <w:lang w:val="fr"/>
              </w:rPr>
              <w:t xml:space="preserve">% membres des </w:t>
            </w:r>
            <w:r>
              <w:rPr>
                <w:kern w:val="2"/>
                <w:sz w:val="22"/>
                <w:szCs w:val="22"/>
                <w:lang w:val="fr-FR"/>
              </w:rPr>
              <w:t xml:space="preserve">mécanismes communautaires de prévention et gestion, règlement et transformation </w:t>
            </w:r>
            <w:r>
              <w:rPr>
                <w:kern w:val="2"/>
                <w:sz w:val="22"/>
                <w:szCs w:val="22"/>
                <w:lang w:val="fr-FR"/>
              </w:rPr>
              <w:lastRenderedPageBreak/>
              <w:t>pacifiques des conflits qui ont confiance dans les MARC.</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44BEC91E" w14:textId="77777777" w:rsidR="001B58C7" w:rsidRDefault="000F0E0E">
            <w:pPr>
              <w:spacing w:after="160" w:line="276" w:lineRule="auto"/>
              <w:rPr>
                <w:kern w:val="2"/>
                <w:sz w:val="22"/>
                <w:szCs w:val="22"/>
              </w:rPr>
            </w:pPr>
            <w:r>
              <w:rPr>
                <w:b/>
                <w:bCs/>
                <w:kern w:val="2"/>
                <w:sz w:val="22"/>
                <w:szCs w:val="22"/>
                <w:lang w:val="fr"/>
              </w:rPr>
              <w:lastRenderedPageBreak/>
              <w:t>20%</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6636553B" w14:textId="77777777" w:rsidR="001B58C7" w:rsidRPr="006B740B" w:rsidRDefault="000F0E0E">
            <w:pPr>
              <w:spacing w:after="160" w:line="276" w:lineRule="auto"/>
              <w:rPr>
                <w:kern w:val="2"/>
                <w:sz w:val="22"/>
                <w:szCs w:val="22"/>
                <w:lang w:val="fr-FR"/>
              </w:rPr>
            </w:pPr>
            <w:r>
              <w:rPr>
                <w:b/>
                <w:bCs/>
                <w:kern w:val="2"/>
                <w:sz w:val="22"/>
                <w:szCs w:val="22"/>
                <w:lang w:val="fr"/>
              </w:rPr>
              <w:t xml:space="preserve">65% </w:t>
            </w:r>
            <w:r>
              <w:rPr>
                <w:kern w:val="2"/>
                <w:sz w:val="22"/>
                <w:szCs w:val="22"/>
                <w:lang w:val="fr"/>
              </w:rPr>
              <w:t>(dont 35% des femmes et 30% des hommes)</w:t>
            </w:r>
          </w:p>
        </w:tc>
        <w:tc>
          <w:tcPr>
            <w:tcW w:w="13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Mar>
              <w:left w:w="108" w:type="dxa"/>
              <w:right w:w="108" w:type="dxa"/>
            </w:tcMar>
          </w:tcPr>
          <w:p w14:paraId="4D70ABF9" w14:textId="77777777" w:rsidR="001B58C7" w:rsidRDefault="000F0E0E">
            <w:pPr>
              <w:spacing w:after="160" w:line="259" w:lineRule="auto"/>
              <w:rPr>
                <w:kern w:val="2"/>
                <w:sz w:val="22"/>
                <w:szCs w:val="22"/>
                <w:lang w:val="fr"/>
              </w:rPr>
            </w:pPr>
            <w:r>
              <w:rPr>
                <w:kern w:val="2"/>
                <w:sz w:val="22"/>
                <w:szCs w:val="22"/>
                <w:lang w:val="fr"/>
              </w:rPr>
              <w:t xml:space="preserve">57,6% (32,1% hommes et 25,5% femmes) </w:t>
            </w:r>
          </w:p>
        </w:tc>
        <w:tc>
          <w:tcPr>
            <w:tcW w:w="25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Mar>
              <w:left w:w="108" w:type="dxa"/>
              <w:right w:w="108" w:type="dxa"/>
            </w:tcMar>
          </w:tcPr>
          <w:p w14:paraId="76824CBD" w14:textId="77777777" w:rsidR="001B58C7" w:rsidRDefault="000F0E0E">
            <w:pPr>
              <w:spacing w:after="160" w:line="276" w:lineRule="auto"/>
              <w:rPr>
                <w:kern w:val="2"/>
                <w:sz w:val="22"/>
                <w:szCs w:val="22"/>
                <w:lang w:val="fr"/>
              </w:rPr>
            </w:pPr>
            <w:r>
              <w:rPr>
                <w:kern w:val="2"/>
                <w:sz w:val="22"/>
                <w:szCs w:val="22"/>
                <w:lang w:val="fr"/>
              </w:rPr>
              <w:t>57,6% (32,1% hommes et 25,5% femmes)</w:t>
            </w:r>
          </w:p>
          <w:p w14:paraId="7FC6F454" w14:textId="77777777" w:rsidR="001B58C7" w:rsidRDefault="000F0E0E">
            <w:pPr>
              <w:spacing w:after="160" w:line="276" w:lineRule="auto"/>
              <w:rPr>
                <w:kern w:val="2"/>
                <w:sz w:val="22"/>
                <w:szCs w:val="22"/>
                <w:lang w:val="fr-FR"/>
              </w:rPr>
            </w:pPr>
            <w:r>
              <w:rPr>
                <w:kern w:val="2"/>
                <w:sz w:val="22"/>
                <w:szCs w:val="22"/>
                <w:lang w:val="fr"/>
              </w:rPr>
              <w:t xml:space="preserve">NB : </w:t>
            </w:r>
            <w:r>
              <w:rPr>
                <w:kern w:val="2"/>
                <w:sz w:val="22"/>
                <w:szCs w:val="22"/>
                <w:lang w:val="fr-FR"/>
              </w:rPr>
              <w:t xml:space="preserve">Tous les mécanismes communautaires de prévention et gestion, règlement et </w:t>
            </w:r>
            <w:r>
              <w:rPr>
                <w:kern w:val="2"/>
                <w:sz w:val="22"/>
                <w:szCs w:val="22"/>
                <w:lang w:val="fr-FR"/>
              </w:rPr>
              <w:lastRenderedPageBreak/>
              <w:t>transformation pacifiques des conflits déjà touchés par le conflit ont été prise en compte : 8 mécanismes renforcés, 4 structures communautaires dont les plans ont été financés et 16 comités locaux de protection formé et appuyés. </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Mar>
              <w:left w:w="108" w:type="dxa"/>
              <w:right w:w="108" w:type="dxa"/>
            </w:tcMar>
          </w:tcPr>
          <w:p w14:paraId="0E983C85" w14:textId="77777777" w:rsidR="001B58C7" w:rsidRDefault="000F0E0E">
            <w:pPr>
              <w:spacing w:after="160" w:line="276" w:lineRule="auto"/>
              <w:rPr>
                <w:kern w:val="2"/>
                <w:sz w:val="22"/>
                <w:szCs w:val="22"/>
                <w:lang w:val="fr-FR"/>
              </w:rPr>
            </w:pPr>
            <w:r>
              <w:rPr>
                <w:kern w:val="2"/>
                <w:sz w:val="22"/>
                <w:szCs w:val="22"/>
                <w:lang w:val="fr"/>
              </w:rPr>
              <w:lastRenderedPageBreak/>
              <w:t>300</w:t>
            </w:r>
            <w:r>
              <w:rPr>
                <w:kern w:val="2"/>
                <w:sz w:val="22"/>
                <w:szCs w:val="22"/>
                <w:lang w:val="fr-FR"/>
              </w:rPr>
              <w:t xml:space="preserve"> personnes ont été atteint par cette activité (167 hommes et 133 femmes)</w:t>
            </w:r>
          </w:p>
          <w:p w14:paraId="0156737E" w14:textId="77777777" w:rsidR="001B58C7" w:rsidRDefault="001B58C7">
            <w:pPr>
              <w:spacing w:after="160" w:line="276" w:lineRule="auto"/>
              <w:rPr>
                <w:kern w:val="2"/>
                <w:sz w:val="22"/>
                <w:szCs w:val="22"/>
                <w:lang w:val="fr-FR"/>
              </w:rPr>
            </w:pPr>
          </w:p>
          <w:p w14:paraId="6C994C96" w14:textId="77777777" w:rsidR="001B58C7" w:rsidRDefault="000F0E0E">
            <w:pPr>
              <w:spacing w:after="160" w:line="276" w:lineRule="auto"/>
              <w:rPr>
                <w:kern w:val="2"/>
                <w:sz w:val="22"/>
                <w:szCs w:val="22"/>
                <w:lang w:val="fr-FR"/>
              </w:rPr>
            </w:pPr>
            <w:r>
              <w:rPr>
                <w:kern w:val="2"/>
                <w:sz w:val="22"/>
                <w:szCs w:val="22"/>
                <w:lang w:val="fr-FR"/>
              </w:rPr>
              <w:lastRenderedPageBreak/>
              <w:t>Activité continue</w:t>
            </w:r>
          </w:p>
        </w:tc>
      </w:tr>
      <w:tr w:rsidR="001B58C7" w:rsidRPr="00ED3A8A" w14:paraId="380A487E" w14:textId="77777777">
        <w:trPr>
          <w:trHeight w:val="300"/>
        </w:trPr>
        <w:tc>
          <w:tcPr>
            <w:tcW w:w="24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5F9CD396" w14:textId="77777777" w:rsidR="001B58C7" w:rsidRPr="006B740B" w:rsidRDefault="000F0E0E">
            <w:pPr>
              <w:spacing w:after="160" w:line="276" w:lineRule="auto"/>
              <w:rPr>
                <w:kern w:val="2"/>
                <w:sz w:val="22"/>
                <w:szCs w:val="22"/>
                <w:lang w:val="fr-FR"/>
              </w:rPr>
            </w:pPr>
            <w:r>
              <w:rPr>
                <w:b/>
                <w:bCs/>
                <w:kern w:val="2"/>
                <w:sz w:val="22"/>
                <w:szCs w:val="22"/>
                <w:lang w:val="fr"/>
              </w:rPr>
              <w:lastRenderedPageBreak/>
              <w:t>Indicateur</w:t>
            </w:r>
            <w:r>
              <w:rPr>
                <w:kern w:val="2"/>
                <w:sz w:val="22"/>
                <w:szCs w:val="22"/>
                <w:lang w:val="fr"/>
              </w:rPr>
              <w:t xml:space="preserve"> </w:t>
            </w:r>
            <w:r>
              <w:rPr>
                <w:b/>
                <w:bCs/>
                <w:kern w:val="2"/>
                <w:sz w:val="22"/>
                <w:szCs w:val="22"/>
                <w:lang w:val="fr"/>
              </w:rPr>
              <w:t>3.2</w:t>
            </w:r>
          </w:p>
          <w:p w14:paraId="1E6E1A6E" w14:textId="77777777" w:rsidR="001B58C7" w:rsidRPr="006B740B" w:rsidRDefault="000F0E0E">
            <w:pPr>
              <w:spacing w:after="160" w:line="276" w:lineRule="auto"/>
              <w:rPr>
                <w:kern w:val="2"/>
                <w:sz w:val="22"/>
                <w:szCs w:val="22"/>
                <w:lang w:val="fr-FR"/>
              </w:rPr>
            </w:pPr>
            <w:r>
              <w:rPr>
                <w:kern w:val="2"/>
                <w:sz w:val="22"/>
                <w:szCs w:val="22"/>
                <w:lang w:val="fr-FR"/>
              </w:rPr>
              <w:t xml:space="preserve">% de la population de 8 entités ciblés (territoires Demba, </w:t>
            </w:r>
            <w:proofErr w:type="spellStart"/>
            <w:r>
              <w:rPr>
                <w:kern w:val="2"/>
                <w:sz w:val="22"/>
                <w:szCs w:val="22"/>
                <w:lang w:val="fr-FR"/>
              </w:rPr>
              <w:t>Dibaya</w:t>
            </w:r>
            <w:proofErr w:type="spellEnd"/>
            <w:r>
              <w:rPr>
                <w:kern w:val="2"/>
                <w:sz w:val="22"/>
                <w:szCs w:val="22"/>
                <w:lang w:val="fr-FR"/>
              </w:rPr>
              <w:t xml:space="preserve">, Luiza et la ville de Kananga au Kasaï Central et </w:t>
            </w:r>
            <w:proofErr w:type="spellStart"/>
            <w:r>
              <w:rPr>
                <w:kern w:val="2"/>
                <w:sz w:val="22"/>
                <w:szCs w:val="22"/>
                <w:lang w:val="fr-FR"/>
              </w:rPr>
              <w:t>Kamonia</w:t>
            </w:r>
            <w:proofErr w:type="spellEnd"/>
            <w:r>
              <w:rPr>
                <w:kern w:val="2"/>
                <w:sz w:val="22"/>
                <w:szCs w:val="22"/>
                <w:lang w:val="fr-FR"/>
              </w:rPr>
              <w:t xml:space="preserve">, </w:t>
            </w:r>
            <w:proofErr w:type="spellStart"/>
            <w:r>
              <w:rPr>
                <w:kern w:val="2"/>
                <w:sz w:val="22"/>
                <w:szCs w:val="22"/>
                <w:lang w:val="fr-FR"/>
              </w:rPr>
              <w:t>Luebo</w:t>
            </w:r>
            <w:proofErr w:type="spellEnd"/>
            <w:r>
              <w:rPr>
                <w:kern w:val="2"/>
                <w:sz w:val="22"/>
                <w:szCs w:val="22"/>
                <w:lang w:val="fr-FR"/>
              </w:rPr>
              <w:t xml:space="preserve">, </w:t>
            </w:r>
            <w:proofErr w:type="spellStart"/>
            <w:r>
              <w:rPr>
                <w:kern w:val="2"/>
                <w:sz w:val="22"/>
                <w:szCs w:val="22"/>
                <w:lang w:val="fr-FR"/>
              </w:rPr>
              <w:t>Mweka</w:t>
            </w:r>
            <w:proofErr w:type="spellEnd"/>
            <w:r>
              <w:rPr>
                <w:kern w:val="2"/>
                <w:sz w:val="22"/>
                <w:szCs w:val="22"/>
                <w:lang w:val="fr-FR"/>
              </w:rPr>
              <w:t xml:space="preserve"> et la ville de Tshikapa au Kasaï) ayant recours aux MARC pour </w:t>
            </w:r>
            <w:r w:rsidRPr="006B740B">
              <w:rPr>
                <w:kern w:val="2"/>
                <w:sz w:val="22"/>
                <w:szCs w:val="22"/>
                <w:lang w:val="fr-FR"/>
              </w:rPr>
              <w:t>résoudre leurs conflits</w:t>
            </w:r>
            <w:r>
              <w:rPr>
                <w:rStyle w:val="Appelnotedebasdep"/>
                <w:kern w:val="2"/>
                <w:sz w:val="22"/>
                <w:szCs w:val="22"/>
                <w:lang w:val="zh-CN"/>
              </w:rPr>
              <w:footnoteReference w:id="2"/>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00F8A7E2" w14:textId="77777777" w:rsidR="001B58C7" w:rsidRDefault="000F0E0E">
            <w:pPr>
              <w:spacing w:after="160" w:line="276" w:lineRule="auto"/>
              <w:rPr>
                <w:kern w:val="2"/>
                <w:sz w:val="22"/>
                <w:szCs w:val="22"/>
              </w:rPr>
            </w:pPr>
            <w:r>
              <w:rPr>
                <w:b/>
                <w:bCs/>
                <w:kern w:val="2"/>
                <w:sz w:val="22"/>
                <w:szCs w:val="22"/>
                <w:lang w:val="fr"/>
              </w:rPr>
              <w:t>0</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5E4D4C3C" w14:textId="77777777" w:rsidR="001B58C7" w:rsidRPr="006B740B" w:rsidRDefault="000F0E0E">
            <w:pPr>
              <w:spacing w:after="160" w:line="276" w:lineRule="auto"/>
              <w:rPr>
                <w:kern w:val="2"/>
                <w:sz w:val="22"/>
                <w:szCs w:val="22"/>
                <w:lang w:val="fr-FR"/>
              </w:rPr>
            </w:pPr>
            <w:r>
              <w:rPr>
                <w:b/>
                <w:bCs/>
                <w:kern w:val="2"/>
                <w:sz w:val="22"/>
                <w:szCs w:val="22"/>
                <w:lang w:val="fr"/>
              </w:rPr>
              <w:t xml:space="preserve">32% </w:t>
            </w:r>
            <w:r>
              <w:rPr>
                <w:kern w:val="2"/>
                <w:sz w:val="22"/>
                <w:szCs w:val="22"/>
                <w:lang w:val="fr"/>
              </w:rPr>
              <w:t>(dont 18% des femmes et 14% des hommes)</w:t>
            </w:r>
          </w:p>
        </w:tc>
        <w:tc>
          <w:tcPr>
            <w:tcW w:w="13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Mar>
              <w:left w:w="108" w:type="dxa"/>
              <w:right w:w="108" w:type="dxa"/>
            </w:tcMar>
          </w:tcPr>
          <w:p w14:paraId="56729069" w14:textId="77777777" w:rsidR="001B58C7" w:rsidRDefault="000F0E0E">
            <w:pPr>
              <w:spacing w:after="160" w:line="276" w:lineRule="auto"/>
              <w:rPr>
                <w:kern w:val="2"/>
                <w:sz w:val="22"/>
                <w:szCs w:val="22"/>
                <w:lang w:val="fr-FR"/>
              </w:rPr>
            </w:pPr>
            <w:r>
              <w:rPr>
                <w:kern w:val="2"/>
                <w:sz w:val="22"/>
                <w:szCs w:val="22"/>
                <w:lang w:val="fr-FR"/>
              </w:rPr>
              <w:t xml:space="preserve">0,029 % (0,013% hommes et 0,016% femmes) </w:t>
            </w:r>
          </w:p>
        </w:tc>
        <w:tc>
          <w:tcPr>
            <w:tcW w:w="25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Mar>
              <w:left w:w="108" w:type="dxa"/>
              <w:right w:w="108" w:type="dxa"/>
            </w:tcMar>
          </w:tcPr>
          <w:p w14:paraId="041ADFB2" w14:textId="77777777" w:rsidR="001B58C7" w:rsidRDefault="000F0E0E">
            <w:pPr>
              <w:spacing w:after="160" w:line="276" w:lineRule="auto"/>
              <w:rPr>
                <w:kern w:val="2"/>
                <w:sz w:val="22"/>
                <w:szCs w:val="22"/>
                <w:lang w:val="fr-FR"/>
              </w:rPr>
            </w:pPr>
            <w:r>
              <w:rPr>
                <w:kern w:val="2"/>
                <w:sz w:val="22"/>
                <w:szCs w:val="22"/>
                <w:lang w:val="fr-FR"/>
              </w:rPr>
              <w:t>0,029 % (0,013% hommes et 0,016% femmes)</w:t>
            </w:r>
          </w:p>
          <w:p w14:paraId="16045116" w14:textId="77777777" w:rsidR="001B58C7" w:rsidRDefault="000F0E0E">
            <w:pPr>
              <w:spacing w:after="160" w:line="276" w:lineRule="auto"/>
              <w:rPr>
                <w:kern w:val="2"/>
                <w:sz w:val="22"/>
                <w:szCs w:val="22"/>
                <w:lang w:val="fr-FR"/>
              </w:rPr>
            </w:pPr>
            <w:r>
              <w:rPr>
                <w:kern w:val="2"/>
                <w:sz w:val="22"/>
                <w:szCs w:val="22"/>
                <w:lang w:val="fr-FR"/>
              </w:rPr>
              <w:t>NB : Il s’agit des bénéficiaires des 20 dialogues communautaires, des membres de 8 mécanismes communautaires de prévention et des jeunes vecteurs de paix formés, couvrant l’ensemble des populations des huit entités du projet.</w:t>
            </w: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Mar>
              <w:left w:w="108" w:type="dxa"/>
              <w:right w:w="108" w:type="dxa"/>
            </w:tcMar>
          </w:tcPr>
          <w:p w14:paraId="3EA76CEB" w14:textId="77777777" w:rsidR="001B58C7" w:rsidRDefault="000F0E0E">
            <w:pPr>
              <w:spacing w:after="160" w:line="276" w:lineRule="auto"/>
              <w:rPr>
                <w:kern w:val="2"/>
                <w:sz w:val="22"/>
                <w:szCs w:val="22"/>
                <w:lang w:val="fr"/>
              </w:rPr>
            </w:pPr>
            <w:r>
              <w:rPr>
                <w:kern w:val="2"/>
                <w:sz w:val="22"/>
                <w:szCs w:val="22"/>
                <w:lang w:val="fr"/>
              </w:rPr>
              <w:t xml:space="preserve">Cible de 32 %, le projet a atteint un total de 2086 (1150 femmes et 936 hommes) pour une population de 7.118.315 </w:t>
            </w:r>
          </w:p>
        </w:tc>
      </w:tr>
      <w:tr w:rsidR="001B58C7" w14:paraId="7DCB4A77" w14:textId="77777777">
        <w:trPr>
          <w:trHeight w:val="300"/>
        </w:trPr>
        <w:tc>
          <w:tcPr>
            <w:tcW w:w="24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7D8BCA6F" w14:textId="77777777" w:rsidR="001B58C7" w:rsidRPr="006B740B" w:rsidRDefault="000F0E0E">
            <w:pPr>
              <w:spacing w:after="160" w:line="276" w:lineRule="auto"/>
              <w:rPr>
                <w:kern w:val="2"/>
                <w:sz w:val="22"/>
                <w:szCs w:val="22"/>
                <w:lang w:val="fr-FR"/>
              </w:rPr>
            </w:pPr>
            <w:r>
              <w:rPr>
                <w:b/>
                <w:bCs/>
                <w:kern w:val="2"/>
                <w:sz w:val="22"/>
                <w:szCs w:val="22"/>
                <w:lang w:val="fr"/>
              </w:rPr>
              <w:t>Indicateur</w:t>
            </w:r>
            <w:r>
              <w:rPr>
                <w:kern w:val="2"/>
                <w:sz w:val="22"/>
                <w:szCs w:val="22"/>
                <w:lang w:val="fr"/>
              </w:rPr>
              <w:t xml:space="preserve"> </w:t>
            </w:r>
            <w:r>
              <w:rPr>
                <w:b/>
                <w:bCs/>
                <w:kern w:val="2"/>
                <w:sz w:val="22"/>
                <w:szCs w:val="22"/>
                <w:lang w:val="fr"/>
              </w:rPr>
              <w:t>3.3</w:t>
            </w:r>
          </w:p>
          <w:p w14:paraId="76E1FB28" w14:textId="77777777" w:rsidR="001B58C7" w:rsidRPr="006B740B" w:rsidRDefault="000F0E0E">
            <w:pPr>
              <w:spacing w:after="160" w:line="276" w:lineRule="auto"/>
              <w:rPr>
                <w:kern w:val="2"/>
                <w:sz w:val="22"/>
                <w:szCs w:val="22"/>
                <w:lang w:val="fr-FR"/>
              </w:rPr>
            </w:pPr>
            <w:r>
              <w:rPr>
                <w:kern w:val="2"/>
                <w:sz w:val="22"/>
                <w:szCs w:val="22"/>
                <w:lang w:val="fr"/>
              </w:rPr>
              <w:t xml:space="preserve">% membres des vecteurs de paix et médiateurs locaux sur les MARC et soutiennent les initiatives développées par les vecteurs et médiateurs de paix dans les 8 entités ciblées. </w:t>
            </w:r>
          </w:p>
        </w:tc>
        <w:tc>
          <w:tcPr>
            <w:tcW w:w="10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566D3108" w14:textId="77777777" w:rsidR="001B58C7" w:rsidRPr="006B740B" w:rsidRDefault="000F0E0E">
            <w:pPr>
              <w:spacing w:after="160" w:line="276" w:lineRule="auto"/>
              <w:rPr>
                <w:kern w:val="2"/>
                <w:sz w:val="22"/>
                <w:szCs w:val="22"/>
                <w:lang w:val="fr-FR"/>
              </w:rPr>
            </w:pPr>
            <w:r>
              <w:rPr>
                <w:b/>
                <w:bCs/>
                <w:kern w:val="2"/>
                <w:sz w:val="22"/>
                <w:szCs w:val="22"/>
                <w:lang w:val="fr"/>
              </w:rPr>
              <w:t xml:space="preserve">50 </w:t>
            </w:r>
            <w:r>
              <w:rPr>
                <w:kern w:val="2"/>
                <w:sz w:val="22"/>
                <w:szCs w:val="22"/>
                <w:lang w:val="fr"/>
              </w:rPr>
              <w:t xml:space="preserve">(25% des femmes et 25% des hommes) </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35FED15B" w14:textId="77777777" w:rsidR="001B58C7" w:rsidRDefault="000F0E0E">
            <w:pPr>
              <w:spacing w:after="160" w:line="276" w:lineRule="auto"/>
              <w:rPr>
                <w:kern w:val="2"/>
                <w:sz w:val="22"/>
                <w:szCs w:val="22"/>
              </w:rPr>
            </w:pPr>
            <w:r>
              <w:rPr>
                <w:b/>
                <w:bCs/>
                <w:kern w:val="2"/>
                <w:sz w:val="22"/>
                <w:szCs w:val="22"/>
                <w:lang w:val="fr"/>
              </w:rPr>
              <w:t xml:space="preserve">300 </w:t>
            </w:r>
            <w:r>
              <w:rPr>
                <w:kern w:val="2"/>
                <w:sz w:val="22"/>
                <w:szCs w:val="22"/>
                <w:lang w:val="fr"/>
              </w:rPr>
              <w:t>(150 femmes et 150 hommes).</w:t>
            </w:r>
          </w:p>
        </w:tc>
        <w:tc>
          <w:tcPr>
            <w:tcW w:w="13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Mar>
              <w:left w:w="108" w:type="dxa"/>
              <w:right w:w="108" w:type="dxa"/>
            </w:tcMar>
          </w:tcPr>
          <w:p w14:paraId="0BB2548C" w14:textId="77777777" w:rsidR="001B58C7" w:rsidRDefault="000F0E0E">
            <w:pPr>
              <w:spacing w:after="160" w:line="276" w:lineRule="auto"/>
              <w:rPr>
                <w:kern w:val="2"/>
                <w:sz w:val="22"/>
                <w:szCs w:val="22"/>
                <w:lang w:val="fr-FR"/>
              </w:rPr>
            </w:pPr>
            <w:r>
              <w:rPr>
                <w:kern w:val="2"/>
                <w:sz w:val="22"/>
                <w:szCs w:val="22"/>
                <w:lang w:val="fr-FR"/>
              </w:rPr>
              <w:t xml:space="preserve">100 soit 33,3% (50 femmes soit 16,66 % et 50 hommes soit 16,66%) </w:t>
            </w:r>
          </w:p>
        </w:tc>
        <w:tc>
          <w:tcPr>
            <w:tcW w:w="25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Mar>
              <w:left w:w="108" w:type="dxa"/>
              <w:right w:w="108" w:type="dxa"/>
            </w:tcMar>
          </w:tcPr>
          <w:p w14:paraId="53623315" w14:textId="77777777" w:rsidR="001B58C7" w:rsidRDefault="000F0E0E">
            <w:pPr>
              <w:spacing w:after="160" w:line="276" w:lineRule="auto"/>
              <w:rPr>
                <w:kern w:val="2"/>
                <w:sz w:val="22"/>
                <w:szCs w:val="22"/>
                <w:lang w:val="fr-FR"/>
              </w:rPr>
            </w:pPr>
            <w:r>
              <w:rPr>
                <w:kern w:val="2"/>
                <w:sz w:val="22"/>
                <w:szCs w:val="22"/>
                <w:lang w:val="fr-FR"/>
              </w:rPr>
              <w:t xml:space="preserve">100 soit 33,3% (50 femmes soit 16,66 % et 50 hommes soit 16,66%) </w:t>
            </w:r>
          </w:p>
          <w:p w14:paraId="794E9D9E" w14:textId="77777777" w:rsidR="001B58C7" w:rsidRDefault="001B58C7">
            <w:pPr>
              <w:spacing w:after="160" w:line="276" w:lineRule="auto"/>
              <w:rPr>
                <w:kern w:val="2"/>
                <w:sz w:val="22"/>
                <w:szCs w:val="22"/>
                <w:lang w:val="fr-FR"/>
              </w:rPr>
            </w:pPr>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Mar>
              <w:left w:w="108" w:type="dxa"/>
              <w:right w:w="108" w:type="dxa"/>
            </w:tcMar>
          </w:tcPr>
          <w:p w14:paraId="5801B34E" w14:textId="77777777" w:rsidR="001B58C7" w:rsidRDefault="000F0E0E">
            <w:pPr>
              <w:spacing w:after="160" w:line="276" w:lineRule="auto"/>
              <w:rPr>
                <w:kern w:val="2"/>
                <w:sz w:val="22"/>
                <w:szCs w:val="22"/>
                <w:lang w:val="fr"/>
              </w:rPr>
            </w:pPr>
            <w:r>
              <w:rPr>
                <w:kern w:val="2"/>
                <w:sz w:val="22"/>
                <w:szCs w:val="22"/>
                <w:lang w:val="fr-FR"/>
              </w:rPr>
              <w:t xml:space="preserve"> </w:t>
            </w:r>
            <w:r>
              <w:rPr>
                <w:kern w:val="2"/>
                <w:sz w:val="22"/>
                <w:szCs w:val="22"/>
                <w:lang w:val="fr"/>
              </w:rPr>
              <w:t>Activité continue</w:t>
            </w:r>
          </w:p>
          <w:p w14:paraId="54488962" w14:textId="77777777" w:rsidR="001B58C7" w:rsidRDefault="001B58C7">
            <w:pPr>
              <w:spacing w:after="160" w:line="276" w:lineRule="auto"/>
              <w:rPr>
                <w:kern w:val="2"/>
                <w:sz w:val="22"/>
                <w:szCs w:val="22"/>
                <w:lang w:val="fr-FR"/>
              </w:rPr>
            </w:pPr>
          </w:p>
        </w:tc>
      </w:tr>
    </w:tbl>
    <w:p w14:paraId="7AF4BD93" w14:textId="77777777" w:rsidR="001B58C7" w:rsidRDefault="000F0E0E">
      <w:pPr>
        <w:ind w:left="-360"/>
      </w:pPr>
      <w:r>
        <w:rPr>
          <w:b/>
          <w:bCs/>
          <w:lang w:val="fr"/>
        </w:rPr>
        <w:t xml:space="preserve"> </w:t>
      </w:r>
    </w:p>
    <w:p w14:paraId="1A19A478" w14:textId="77777777" w:rsidR="001B58C7" w:rsidRPr="006B740B" w:rsidRDefault="000F0E0E">
      <w:pPr>
        <w:ind w:left="-360"/>
        <w:rPr>
          <w:lang w:val="fr-FR"/>
        </w:rPr>
      </w:pPr>
      <w:r>
        <w:rPr>
          <w:b/>
          <w:bCs/>
          <w:u w:val="single"/>
          <w:lang w:val="fr-FR"/>
        </w:rPr>
        <w:t xml:space="preserve">Produit 3.1 :  </w:t>
      </w:r>
      <w:r>
        <w:rPr>
          <w:b/>
          <w:bCs/>
          <w:lang w:val="fr-FR"/>
        </w:rPr>
        <w:t xml:space="preserve">Un système de monitoring des conflits et des incidents de protection y relatifs est en place et pleinement fonctionnels dans les zones ciblées pour recueillir, analyser et publier des informations sur les conflits et les incidents de protection y relatifs. </w:t>
      </w:r>
    </w:p>
    <w:p w14:paraId="64C75101" w14:textId="77777777" w:rsidR="001B58C7" w:rsidRPr="006B740B" w:rsidRDefault="000F0E0E">
      <w:pPr>
        <w:ind w:left="-720" w:firstLine="360"/>
        <w:rPr>
          <w:lang w:val="fr-FR"/>
        </w:rPr>
      </w:pPr>
      <w:r>
        <w:rPr>
          <w:b/>
          <w:bCs/>
          <w:lang w:val="fr"/>
        </w:rPr>
        <w:t xml:space="preserve"> </w:t>
      </w:r>
    </w:p>
    <w:tbl>
      <w:tblPr>
        <w:tblW w:w="10440" w:type="dxa"/>
        <w:tblInd w:w="-730" w:type="dxa"/>
        <w:tblLayout w:type="fixed"/>
        <w:tblLook w:val="04A0" w:firstRow="1" w:lastRow="0" w:firstColumn="1" w:lastColumn="0" w:noHBand="0" w:noVBand="1"/>
      </w:tblPr>
      <w:tblGrid>
        <w:gridCol w:w="2520"/>
        <w:gridCol w:w="1350"/>
        <w:gridCol w:w="1260"/>
        <w:gridCol w:w="1260"/>
        <w:gridCol w:w="2340"/>
        <w:gridCol w:w="1710"/>
      </w:tblGrid>
      <w:tr w:rsidR="001B58C7" w:rsidRPr="00ED3A8A" w14:paraId="7EA82956" w14:textId="77777777">
        <w:trPr>
          <w:trHeight w:val="300"/>
        </w:trPr>
        <w:tc>
          <w:tcPr>
            <w:tcW w:w="25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4D7B8328" w14:textId="77777777" w:rsidR="001B58C7" w:rsidRDefault="000F0E0E">
            <w:pPr>
              <w:spacing w:after="160" w:line="276" w:lineRule="auto"/>
              <w:rPr>
                <w:kern w:val="2"/>
                <w:sz w:val="22"/>
                <w:szCs w:val="22"/>
              </w:rPr>
            </w:pPr>
            <w:r>
              <w:rPr>
                <w:b/>
                <w:bCs/>
                <w:kern w:val="2"/>
                <w:sz w:val="22"/>
                <w:szCs w:val="22"/>
                <w:lang w:val="fr"/>
              </w:rPr>
              <w:lastRenderedPageBreak/>
              <w:t>Indicateurs de produit</w:t>
            </w:r>
          </w:p>
        </w:tc>
        <w:tc>
          <w:tcPr>
            <w:tcW w:w="13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16636FAC" w14:textId="77777777" w:rsidR="001B58C7" w:rsidRDefault="000F0E0E">
            <w:pPr>
              <w:spacing w:after="160" w:line="276" w:lineRule="auto"/>
              <w:rPr>
                <w:kern w:val="2"/>
                <w:sz w:val="22"/>
                <w:szCs w:val="22"/>
              </w:rPr>
            </w:pPr>
            <w:r>
              <w:rPr>
                <w:b/>
                <w:bCs/>
                <w:kern w:val="2"/>
                <w:sz w:val="22"/>
                <w:szCs w:val="22"/>
                <w:lang w:val="fr"/>
              </w:rPr>
              <w:t>Indicateur de base</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7FBFE0AA" w14:textId="77777777" w:rsidR="001B58C7" w:rsidRPr="006B740B" w:rsidRDefault="000F0E0E">
            <w:pPr>
              <w:spacing w:after="160" w:line="276" w:lineRule="auto"/>
              <w:rPr>
                <w:kern w:val="2"/>
                <w:sz w:val="22"/>
                <w:szCs w:val="22"/>
                <w:lang w:val="fr-FR"/>
              </w:rPr>
            </w:pPr>
            <w:r>
              <w:rPr>
                <w:b/>
                <w:bCs/>
                <w:kern w:val="2"/>
                <w:sz w:val="22"/>
                <w:szCs w:val="22"/>
                <w:lang w:val="fr"/>
              </w:rPr>
              <w:t>Cible de fin de projet</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F1AC906" w14:textId="77777777" w:rsidR="001B58C7" w:rsidRPr="006B740B" w:rsidRDefault="000F0E0E">
            <w:pPr>
              <w:spacing w:after="160" w:line="276" w:lineRule="auto"/>
              <w:rPr>
                <w:kern w:val="2"/>
                <w:sz w:val="22"/>
                <w:szCs w:val="22"/>
                <w:lang w:val="fr-FR"/>
              </w:rPr>
            </w:pPr>
            <w:r>
              <w:rPr>
                <w:b/>
                <w:bCs/>
                <w:kern w:val="2"/>
                <w:sz w:val="22"/>
                <w:szCs w:val="22"/>
                <w:lang w:val="fr"/>
              </w:rPr>
              <w:t>Progrès de l’indicateur pour la période de référence</w:t>
            </w:r>
          </w:p>
        </w:tc>
        <w:tc>
          <w:tcPr>
            <w:tcW w:w="2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19EE158" w14:textId="77777777" w:rsidR="001B58C7" w:rsidRPr="006B740B" w:rsidRDefault="000F0E0E">
            <w:pPr>
              <w:spacing w:after="160" w:line="276" w:lineRule="auto"/>
              <w:rPr>
                <w:kern w:val="2"/>
                <w:sz w:val="22"/>
                <w:szCs w:val="22"/>
                <w:lang w:val="fr-FR"/>
              </w:rPr>
            </w:pPr>
            <w:r>
              <w:rPr>
                <w:b/>
                <w:bCs/>
                <w:kern w:val="2"/>
                <w:sz w:val="22"/>
                <w:szCs w:val="22"/>
                <w:lang w:val="fr"/>
              </w:rPr>
              <w:t>Progrès de l’indicateur depuis le début du projet</w:t>
            </w: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737B1AF" w14:textId="77777777" w:rsidR="001B58C7" w:rsidRPr="006B740B" w:rsidRDefault="000F0E0E">
            <w:pPr>
              <w:spacing w:after="160" w:line="276" w:lineRule="auto"/>
              <w:rPr>
                <w:kern w:val="2"/>
                <w:sz w:val="22"/>
                <w:szCs w:val="22"/>
                <w:lang w:val="fr-FR"/>
              </w:rPr>
            </w:pPr>
            <w:r>
              <w:rPr>
                <w:b/>
                <w:bCs/>
                <w:kern w:val="2"/>
                <w:sz w:val="22"/>
                <w:szCs w:val="22"/>
                <w:lang w:val="fr"/>
              </w:rPr>
              <w:t>Raisons pour les retards ou changements (s'il y en a)</w:t>
            </w:r>
          </w:p>
        </w:tc>
      </w:tr>
      <w:tr w:rsidR="001B58C7" w14:paraId="2A414EE8" w14:textId="77777777">
        <w:trPr>
          <w:trHeight w:val="555"/>
        </w:trPr>
        <w:tc>
          <w:tcPr>
            <w:tcW w:w="25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1446D33D" w14:textId="77777777" w:rsidR="001B58C7" w:rsidRPr="006B740B" w:rsidRDefault="000F0E0E">
            <w:pPr>
              <w:spacing w:after="160" w:line="276" w:lineRule="auto"/>
              <w:rPr>
                <w:kern w:val="2"/>
                <w:sz w:val="22"/>
                <w:szCs w:val="22"/>
                <w:lang w:val="fr-FR"/>
              </w:rPr>
            </w:pPr>
            <w:r>
              <w:rPr>
                <w:b/>
                <w:bCs/>
                <w:kern w:val="2"/>
                <w:sz w:val="22"/>
                <w:szCs w:val="22"/>
                <w:lang w:val="fr"/>
              </w:rPr>
              <w:t>Indicateur 3.1.1</w:t>
            </w:r>
          </w:p>
          <w:p w14:paraId="7C227C89" w14:textId="77777777" w:rsidR="001B58C7" w:rsidRPr="006B740B" w:rsidRDefault="000F0E0E">
            <w:pPr>
              <w:spacing w:after="160" w:line="276" w:lineRule="auto"/>
              <w:rPr>
                <w:kern w:val="2"/>
                <w:sz w:val="22"/>
                <w:szCs w:val="22"/>
                <w:lang w:val="fr-FR"/>
              </w:rPr>
            </w:pPr>
            <w:r>
              <w:rPr>
                <w:kern w:val="2"/>
                <w:sz w:val="22"/>
                <w:szCs w:val="22"/>
                <w:lang w:val="fr-FR"/>
              </w:rPr>
              <w:t xml:space="preserve"> % des mécanismes non-formels de protection des victimes et témoins répertoriées et cartographié. Situation de référence : 20% Cible : 100% ; </w:t>
            </w:r>
          </w:p>
          <w:p w14:paraId="52108882" w14:textId="77777777" w:rsidR="001B58C7" w:rsidRPr="006B740B" w:rsidRDefault="000F0E0E">
            <w:pPr>
              <w:spacing w:after="160" w:line="276" w:lineRule="auto"/>
              <w:rPr>
                <w:kern w:val="2"/>
                <w:sz w:val="22"/>
                <w:szCs w:val="22"/>
                <w:lang w:val="fr-FR"/>
              </w:rPr>
            </w:pPr>
            <w:r>
              <w:rPr>
                <w:kern w:val="2"/>
                <w:sz w:val="22"/>
                <w:szCs w:val="22"/>
                <w:lang w:val="fr"/>
              </w:rPr>
              <w:t>Source des données : Rapport de la cartographie</w:t>
            </w:r>
            <w:r>
              <w:rPr>
                <w:rStyle w:val="Appelnotedebasdep"/>
                <w:kern w:val="2"/>
                <w:sz w:val="22"/>
                <w:szCs w:val="22"/>
                <w:lang w:val="fr"/>
              </w:rPr>
              <w:footnoteReference w:id="3"/>
            </w:r>
            <w:r>
              <w:rPr>
                <w:kern w:val="2"/>
                <w:sz w:val="22"/>
                <w:szCs w:val="22"/>
                <w:lang w:val="fr"/>
              </w:rPr>
              <w:t>, liste des mécanismes non formels</w:t>
            </w:r>
          </w:p>
        </w:tc>
        <w:tc>
          <w:tcPr>
            <w:tcW w:w="13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5F51BD10" w14:textId="77777777" w:rsidR="001B58C7" w:rsidRDefault="000F0E0E">
            <w:pPr>
              <w:spacing w:after="160" w:line="276" w:lineRule="auto"/>
              <w:rPr>
                <w:kern w:val="2"/>
                <w:sz w:val="22"/>
                <w:szCs w:val="22"/>
              </w:rPr>
            </w:pPr>
            <w:r>
              <w:rPr>
                <w:b/>
                <w:bCs/>
                <w:kern w:val="2"/>
                <w:sz w:val="22"/>
                <w:szCs w:val="22"/>
                <w:lang w:val="fr"/>
              </w:rPr>
              <w:t>20%</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5DCF06D9" w14:textId="77777777" w:rsidR="001B58C7" w:rsidRDefault="000F0E0E">
            <w:pPr>
              <w:spacing w:after="160" w:line="276" w:lineRule="auto"/>
              <w:rPr>
                <w:kern w:val="2"/>
                <w:sz w:val="22"/>
                <w:szCs w:val="22"/>
              </w:rPr>
            </w:pPr>
            <w:r>
              <w:rPr>
                <w:b/>
                <w:bCs/>
                <w:kern w:val="2"/>
                <w:sz w:val="22"/>
                <w:szCs w:val="22"/>
                <w:lang w:val="fr"/>
              </w:rPr>
              <w:t>100 %</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Mar>
              <w:left w:w="108" w:type="dxa"/>
              <w:right w:w="108" w:type="dxa"/>
            </w:tcMar>
          </w:tcPr>
          <w:p w14:paraId="6A468C38" w14:textId="77777777" w:rsidR="001B58C7" w:rsidRDefault="000F0E0E">
            <w:pPr>
              <w:spacing w:after="160" w:line="259" w:lineRule="auto"/>
              <w:rPr>
                <w:kern w:val="2"/>
                <w:sz w:val="22"/>
                <w:szCs w:val="22"/>
                <w:lang w:val="fr-FR"/>
              </w:rPr>
            </w:pPr>
            <w:r>
              <w:rPr>
                <w:kern w:val="2"/>
                <w:sz w:val="22"/>
                <w:szCs w:val="22"/>
                <w:lang w:val="fr-FR"/>
              </w:rPr>
              <w:t xml:space="preserve">27,5% soit 148 mécanismes non-formels de protection des victimes et témoins répertoriées sur l’ensemble de 538 à atteindre dans le projet. </w:t>
            </w:r>
          </w:p>
        </w:tc>
        <w:tc>
          <w:tcPr>
            <w:tcW w:w="23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Mar>
              <w:left w:w="108" w:type="dxa"/>
              <w:right w:w="108" w:type="dxa"/>
            </w:tcMar>
          </w:tcPr>
          <w:p w14:paraId="2F7E34EF" w14:textId="77777777" w:rsidR="001B58C7" w:rsidRDefault="000F0E0E">
            <w:pPr>
              <w:spacing w:after="160" w:line="259" w:lineRule="auto"/>
              <w:rPr>
                <w:kern w:val="2"/>
                <w:sz w:val="22"/>
                <w:szCs w:val="22"/>
                <w:lang w:val="fr-FR"/>
              </w:rPr>
            </w:pPr>
            <w:r>
              <w:rPr>
                <w:kern w:val="2"/>
                <w:sz w:val="22"/>
                <w:szCs w:val="22"/>
                <w:lang w:val="fr-FR"/>
              </w:rPr>
              <w:t xml:space="preserve">27,5% soit 148 mécanismes non-formels de protection des victimes et témoins répertoriées sur l’ensemble de 538 à atteindre dans le projet. </w:t>
            </w: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C18094" w14:textId="77777777" w:rsidR="001B58C7" w:rsidRDefault="000F0E0E">
            <w:pPr>
              <w:spacing w:after="160" w:line="276" w:lineRule="auto"/>
              <w:rPr>
                <w:kern w:val="2"/>
                <w:sz w:val="22"/>
                <w:szCs w:val="22"/>
                <w:lang w:val="fr"/>
              </w:rPr>
            </w:pPr>
            <w:r>
              <w:rPr>
                <w:kern w:val="2"/>
                <w:sz w:val="22"/>
                <w:szCs w:val="22"/>
                <w:lang w:val="fr"/>
              </w:rPr>
              <w:t>Activité continue</w:t>
            </w:r>
          </w:p>
          <w:p w14:paraId="756E79BD" w14:textId="77777777" w:rsidR="001B58C7" w:rsidRDefault="001B58C7">
            <w:pPr>
              <w:spacing w:after="160" w:line="276" w:lineRule="auto"/>
              <w:rPr>
                <w:b/>
                <w:bCs/>
                <w:kern w:val="2"/>
                <w:sz w:val="22"/>
                <w:szCs w:val="22"/>
                <w:lang w:val="fr"/>
              </w:rPr>
            </w:pPr>
          </w:p>
        </w:tc>
      </w:tr>
      <w:tr w:rsidR="001B58C7" w:rsidRPr="00ED3A8A" w14:paraId="7EF067A0" w14:textId="77777777">
        <w:trPr>
          <w:trHeight w:val="555"/>
        </w:trPr>
        <w:tc>
          <w:tcPr>
            <w:tcW w:w="25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267CEEE1" w14:textId="77777777" w:rsidR="001B58C7" w:rsidRPr="006B740B" w:rsidRDefault="000F0E0E">
            <w:pPr>
              <w:spacing w:after="160" w:line="276" w:lineRule="auto"/>
              <w:rPr>
                <w:kern w:val="2"/>
                <w:sz w:val="22"/>
                <w:szCs w:val="22"/>
                <w:lang w:val="fr-FR"/>
              </w:rPr>
            </w:pPr>
            <w:r>
              <w:rPr>
                <w:b/>
                <w:bCs/>
                <w:kern w:val="2"/>
                <w:sz w:val="22"/>
                <w:szCs w:val="22"/>
                <w:lang w:val="fr"/>
              </w:rPr>
              <w:t>Indicateur 3.1.2</w:t>
            </w:r>
          </w:p>
          <w:p w14:paraId="21E4E3FD" w14:textId="77777777" w:rsidR="001B58C7" w:rsidRPr="006B740B" w:rsidRDefault="000F0E0E">
            <w:pPr>
              <w:spacing w:after="160" w:line="276" w:lineRule="auto"/>
              <w:rPr>
                <w:kern w:val="2"/>
                <w:sz w:val="22"/>
                <w:szCs w:val="22"/>
                <w:lang w:val="fr-FR"/>
              </w:rPr>
            </w:pPr>
            <w:r>
              <w:rPr>
                <w:kern w:val="2"/>
                <w:sz w:val="22"/>
                <w:szCs w:val="22"/>
                <w:lang w:val="fr"/>
              </w:rPr>
              <w:t>Nombre des membres des mécanismes non-formels de protection des victimes et témoins au niveau communautaire formés sur les droits des victimes, le cadre communautaire de protection</w:t>
            </w:r>
          </w:p>
        </w:tc>
        <w:tc>
          <w:tcPr>
            <w:tcW w:w="13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650B27DE" w14:textId="77777777" w:rsidR="001B58C7" w:rsidRDefault="000F0E0E">
            <w:pPr>
              <w:spacing w:after="160" w:line="276" w:lineRule="auto"/>
              <w:rPr>
                <w:kern w:val="2"/>
                <w:sz w:val="22"/>
                <w:szCs w:val="22"/>
              </w:rPr>
            </w:pPr>
            <w:r>
              <w:rPr>
                <w:b/>
                <w:bCs/>
                <w:kern w:val="2"/>
                <w:sz w:val="22"/>
                <w:szCs w:val="22"/>
                <w:lang w:val="fr"/>
              </w:rPr>
              <w:t>150</w:t>
            </w:r>
            <w:r>
              <w:rPr>
                <w:kern w:val="2"/>
                <w:sz w:val="22"/>
                <w:szCs w:val="22"/>
                <w:lang w:val="fr"/>
              </w:rPr>
              <w:t xml:space="preserve"> </w:t>
            </w:r>
            <w:r>
              <w:rPr>
                <w:b/>
                <w:bCs/>
                <w:kern w:val="2"/>
                <w:sz w:val="22"/>
                <w:szCs w:val="22"/>
                <w:lang w:val="fr"/>
              </w:rPr>
              <w:t>(80 hommes et 70 femmes)</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78054A02" w14:textId="77777777" w:rsidR="001B58C7" w:rsidRDefault="000F0E0E">
            <w:pPr>
              <w:spacing w:after="160" w:line="276" w:lineRule="auto"/>
              <w:rPr>
                <w:kern w:val="2"/>
                <w:sz w:val="22"/>
                <w:szCs w:val="22"/>
              </w:rPr>
            </w:pPr>
            <w:r>
              <w:rPr>
                <w:b/>
                <w:bCs/>
                <w:kern w:val="2"/>
                <w:sz w:val="22"/>
                <w:szCs w:val="22"/>
                <w:lang w:val="fr"/>
              </w:rPr>
              <w:t>300</w:t>
            </w:r>
            <w:r>
              <w:rPr>
                <w:kern w:val="2"/>
                <w:sz w:val="22"/>
                <w:szCs w:val="22"/>
                <w:lang w:val="fr"/>
              </w:rPr>
              <w:t xml:space="preserve"> </w:t>
            </w:r>
            <w:r>
              <w:rPr>
                <w:b/>
                <w:bCs/>
                <w:kern w:val="2"/>
                <w:sz w:val="22"/>
                <w:szCs w:val="22"/>
                <w:lang w:val="fr"/>
              </w:rPr>
              <w:t>(</w:t>
            </w:r>
            <w:r>
              <w:rPr>
                <w:kern w:val="2"/>
                <w:sz w:val="22"/>
                <w:szCs w:val="22"/>
                <w:lang w:val="fr"/>
              </w:rPr>
              <w:t>200 femmes et 100 hommes)</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DF5312C" w14:textId="77777777" w:rsidR="001B58C7" w:rsidRDefault="000F0E0E">
            <w:pPr>
              <w:spacing w:after="160" w:line="259" w:lineRule="auto"/>
              <w:rPr>
                <w:kern w:val="2"/>
                <w:sz w:val="22"/>
                <w:szCs w:val="22"/>
                <w:lang w:val="fr-FR"/>
              </w:rPr>
            </w:pPr>
            <w:r>
              <w:rPr>
                <w:kern w:val="2"/>
                <w:sz w:val="22"/>
                <w:szCs w:val="22"/>
                <w:lang w:val="fr-FR"/>
              </w:rPr>
              <w:t>80 (40 hommes et 40 femmes)</w:t>
            </w:r>
          </w:p>
        </w:tc>
        <w:tc>
          <w:tcPr>
            <w:tcW w:w="2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26C6E54" w14:textId="77777777" w:rsidR="001B58C7" w:rsidRDefault="000F0E0E">
            <w:pPr>
              <w:spacing w:after="160" w:line="259" w:lineRule="auto"/>
              <w:rPr>
                <w:kern w:val="2"/>
                <w:sz w:val="22"/>
                <w:szCs w:val="22"/>
                <w:lang w:val="fr-FR"/>
              </w:rPr>
            </w:pPr>
            <w:r>
              <w:rPr>
                <w:kern w:val="2"/>
                <w:sz w:val="22"/>
                <w:szCs w:val="22"/>
                <w:lang w:val="fr-FR"/>
              </w:rPr>
              <w:t>160 (97 hommes et 63 femmes)</w:t>
            </w: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D16468" w14:textId="77777777" w:rsidR="001B58C7" w:rsidRDefault="000F0E0E">
            <w:pPr>
              <w:spacing w:after="160" w:line="276" w:lineRule="auto"/>
              <w:rPr>
                <w:kern w:val="2"/>
                <w:sz w:val="22"/>
                <w:szCs w:val="22"/>
                <w:lang w:val="fr"/>
              </w:rPr>
            </w:pPr>
            <w:r>
              <w:rPr>
                <w:kern w:val="2"/>
                <w:sz w:val="22"/>
                <w:szCs w:val="22"/>
                <w:lang w:val="fr"/>
              </w:rPr>
              <w:t>Activité continue</w:t>
            </w:r>
          </w:p>
          <w:p w14:paraId="0005C619" w14:textId="77777777" w:rsidR="001B58C7" w:rsidRDefault="000F0E0E">
            <w:pPr>
              <w:spacing w:after="160" w:line="259" w:lineRule="auto"/>
              <w:rPr>
                <w:kern w:val="2"/>
                <w:sz w:val="22"/>
                <w:szCs w:val="22"/>
                <w:lang w:val="fr-FR"/>
              </w:rPr>
            </w:pPr>
            <w:r>
              <w:rPr>
                <w:kern w:val="2"/>
                <w:sz w:val="22"/>
                <w:szCs w:val="22"/>
                <w:lang w:val="fr"/>
              </w:rPr>
              <w:t>(</w:t>
            </w:r>
            <w:proofErr w:type="gramStart"/>
            <w:r>
              <w:rPr>
                <w:kern w:val="2"/>
                <w:sz w:val="22"/>
                <w:szCs w:val="22"/>
                <w:lang w:val="fr"/>
              </w:rPr>
              <w:t>zones</w:t>
            </w:r>
            <w:proofErr w:type="gramEnd"/>
            <w:r>
              <w:rPr>
                <w:kern w:val="2"/>
                <w:sz w:val="22"/>
                <w:szCs w:val="22"/>
                <w:lang w:val="fr"/>
              </w:rPr>
              <w:t xml:space="preserve"> </w:t>
            </w:r>
            <w:proofErr w:type="spellStart"/>
            <w:r>
              <w:rPr>
                <w:kern w:val="2"/>
                <w:sz w:val="22"/>
                <w:szCs w:val="22"/>
                <w:lang w:val="fr"/>
              </w:rPr>
              <w:t>cibl</w:t>
            </w:r>
            <w:r>
              <w:rPr>
                <w:kern w:val="2"/>
                <w:sz w:val="22"/>
                <w:szCs w:val="22"/>
                <w:lang w:val="fr-FR"/>
              </w:rPr>
              <w:t>ée</w:t>
            </w:r>
            <w:proofErr w:type="spellEnd"/>
            <w:r>
              <w:rPr>
                <w:kern w:val="2"/>
                <w:sz w:val="22"/>
                <w:szCs w:val="22"/>
                <w:lang w:val="fr"/>
              </w:rPr>
              <w:t xml:space="preserve">s : </w:t>
            </w:r>
            <w:r>
              <w:rPr>
                <w:kern w:val="2"/>
                <w:sz w:val="22"/>
                <w:szCs w:val="22"/>
                <w:lang w:val="fr-FR"/>
              </w:rPr>
              <w:t xml:space="preserve">Demba, </w:t>
            </w:r>
            <w:proofErr w:type="spellStart"/>
            <w:r>
              <w:rPr>
                <w:kern w:val="2"/>
                <w:sz w:val="22"/>
                <w:szCs w:val="22"/>
                <w:lang w:val="fr-FR"/>
              </w:rPr>
              <w:t>Dibaya</w:t>
            </w:r>
            <w:proofErr w:type="spellEnd"/>
            <w:r>
              <w:rPr>
                <w:kern w:val="2"/>
                <w:sz w:val="22"/>
                <w:szCs w:val="22"/>
                <w:lang w:val="fr-FR"/>
              </w:rPr>
              <w:t xml:space="preserve">, Luiza et la ville de Kananga au Kasaï-Central et </w:t>
            </w:r>
            <w:proofErr w:type="spellStart"/>
            <w:r>
              <w:rPr>
                <w:kern w:val="2"/>
                <w:sz w:val="22"/>
                <w:szCs w:val="22"/>
                <w:lang w:val="fr-FR"/>
              </w:rPr>
              <w:t>Kamonia</w:t>
            </w:r>
            <w:proofErr w:type="spellEnd"/>
            <w:r>
              <w:rPr>
                <w:kern w:val="2"/>
                <w:sz w:val="22"/>
                <w:szCs w:val="22"/>
                <w:lang w:val="fr-FR"/>
              </w:rPr>
              <w:t xml:space="preserve">, </w:t>
            </w:r>
            <w:proofErr w:type="spellStart"/>
            <w:r>
              <w:rPr>
                <w:kern w:val="2"/>
                <w:sz w:val="22"/>
                <w:szCs w:val="22"/>
                <w:lang w:val="fr-FR"/>
              </w:rPr>
              <w:t>Luebo</w:t>
            </w:r>
            <w:proofErr w:type="spellEnd"/>
            <w:r>
              <w:rPr>
                <w:kern w:val="2"/>
                <w:sz w:val="22"/>
                <w:szCs w:val="22"/>
                <w:lang w:val="fr-FR"/>
              </w:rPr>
              <w:t xml:space="preserve">, </w:t>
            </w:r>
            <w:proofErr w:type="spellStart"/>
            <w:r>
              <w:rPr>
                <w:kern w:val="2"/>
                <w:sz w:val="22"/>
                <w:szCs w:val="22"/>
                <w:lang w:val="fr-FR"/>
              </w:rPr>
              <w:t>Mweka</w:t>
            </w:r>
            <w:proofErr w:type="spellEnd"/>
            <w:r>
              <w:rPr>
                <w:kern w:val="2"/>
                <w:sz w:val="22"/>
                <w:szCs w:val="22"/>
                <w:lang w:val="fr-FR"/>
              </w:rPr>
              <w:t xml:space="preserve"> et la ville de Tshikapa au Kasaï)</w:t>
            </w:r>
          </w:p>
          <w:p w14:paraId="788D582A" w14:textId="77777777" w:rsidR="001B58C7" w:rsidRDefault="001B58C7">
            <w:pPr>
              <w:spacing w:after="160" w:line="259" w:lineRule="auto"/>
              <w:rPr>
                <w:kern w:val="2"/>
                <w:sz w:val="22"/>
                <w:szCs w:val="22"/>
                <w:lang w:val="fr-FR"/>
              </w:rPr>
            </w:pPr>
          </w:p>
          <w:p w14:paraId="617C2E1B" w14:textId="77777777" w:rsidR="001B58C7" w:rsidRDefault="001B58C7">
            <w:pPr>
              <w:spacing w:after="160" w:line="276" w:lineRule="auto"/>
              <w:rPr>
                <w:kern w:val="2"/>
                <w:sz w:val="22"/>
                <w:szCs w:val="22"/>
                <w:lang w:val="fr"/>
              </w:rPr>
            </w:pPr>
          </w:p>
          <w:p w14:paraId="7401AA55" w14:textId="77777777" w:rsidR="001B58C7" w:rsidRDefault="001B58C7">
            <w:pPr>
              <w:spacing w:after="160" w:line="276" w:lineRule="auto"/>
              <w:rPr>
                <w:kern w:val="2"/>
                <w:sz w:val="22"/>
                <w:szCs w:val="22"/>
                <w:lang w:val="fr"/>
              </w:rPr>
            </w:pPr>
          </w:p>
        </w:tc>
      </w:tr>
      <w:tr w:rsidR="001B58C7" w14:paraId="61CF9C6A" w14:textId="77777777">
        <w:trPr>
          <w:trHeight w:val="555"/>
        </w:trPr>
        <w:tc>
          <w:tcPr>
            <w:tcW w:w="25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67C462ED" w14:textId="77777777" w:rsidR="001B58C7" w:rsidRPr="006B740B" w:rsidRDefault="000F0E0E">
            <w:pPr>
              <w:spacing w:after="160" w:line="276" w:lineRule="auto"/>
              <w:rPr>
                <w:kern w:val="2"/>
                <w:sz w:val="22"/>
                <w:szCs w:val="22"/>
                <w:lang w:val="fr-FR"/>
              </w:rPr>
            </w:pPr>
            <w:r>
              <w:rPr>
                <w:b/>
                <w:bCs/>
                <w:kern w:val="2"/>
                <w:sz w:val="22"/>
                <w:szCs w:val="22"/>
                <w:lang w:val="fr"/>
              </w:rPr>
              <w:t>Indicateur</w:t>
            </w:r>
            <w:r>
              <w:rPr>
                <w:kern w:val="2"/>
                <w:sz w:val="22"/>
                <w:szCs w:val="22"/>
                <w:lang w:val="fr"/>
              </w:rPr>
              <w:t xml:space="preserve"> </w:t>
            </w:r>
            <w:r>
              <w:rPr>
                <w:b/>
                <w:bCs/>
                <w:kern w:val="2"/>
                <w:sz w:val="22"/>
                <w:szCs w:val="22"/>
                <w:lang w:val="fr"/>
              </w:rPr>
              <w:t>3.1.3</w:t>
            </w:r>
          </w:p>
          <w:p w14:paraId="74141D66" w14:textId="77777777" w:rsidR="001B58C7" w:rsidRDefault="000F0E0E">
            <w:pPr>
              <w:spacing w:after="160" w:line="276" w:lineRule="auto"/>
              <w:rPr>
                <w:kern w:val="2"/>
                <w:sz w:val="22"/>
                <w:szCs w:val="22"/>
              </w:rPr>
            </w:pPr>
            <w:r>
              <w:rPr>
                <w:kern w:val="2"/>
                <w:sz w:val="22"/>
                <w:szCs w:val="22"/>
                <w:lang w:val="fr"/>
              </w:rPr>
              <w:t xml:space="preserve">Nombre des personnes issues des structures communautaires de monitoring de protection </w:t>
            </w:r>
            <w:r>
              <w:rPr>
                <w:kern w:val="2"/>
                <w:sz w:val="22"/>
                <w:szCs w:val="22"/>
                <w:lang w:val="fr"/>
              </w:rPr>
              <w:lastRenderedPageBreak/>
              <w:t>formées sur la collecte, les voies de référencement, la documentation et l’analyse des conflits et des incidents de protection y relatifs dans les 8 entités ciblés. Situation de référence : 250 dont 145femmes et 105 hommes</w:t>
            </w:r>
          </w:p>
        </w:tc>
        <w:tc>
          <w:tcPr>
            <w:tcW w:w="13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42B8C332" w14:textId="77777777" w:rsidR="001B58C7" w:rsidRDefault="000F0E0E">
            <w:pPr>
              <w:spacing w:after="160" w:line="276" w:lineRule="auto"/>
              <w:rPr>
                <w:kern w:val="2"/>
                <w:sz w:val="22"/>
                <w:szCs w:val="22"/>
              </w:rPr>
            </w:pPr>
            <w:r>
              <w:rPr>
                <w:b/>
                <w:bCs/>
                <w:kern w:val="2"/>
                <w:sz w:val="22"/>
                <w:szCs w:val="22"/>
                <w:lang w:val="fr"/>
              </w:rPr>
              <w:lastRenderedPageBreak/>
              <w:t>250 (145 femmes et 105 hommes).</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452539CB" w14:textId="77777777" w:rsidR="001B58C7" w:rsidRDefault="000F0E0E">
            <w:pPr>
              <w:spacing w:after="160" w:line="276" w:lineRule="auto"/>
              <w:rPr>
                <w:kern w:val="2"/>
                <w:sz w:val="22"/>
                <w:szCs w:val="22"/>
              </w:rPr>
            </w:pPr>
            <w:r>
              <w:rPr>
                <w:b/>
                <w:bCs/>
                <w:kern w:val="2"/>
                <w:sz w:val="22"/>
                <w:szCs w:val="22"/>
                <w:lang w:val="fr"/>
              </w:rPr>
              <w:t xml:space="preserve">320 </w:t>
            </w:r>
            <w:r>
              <w:rPr>
                <w:kern w:val="2"/>
                <w:sz w:val="22"/>
                <w:szCs w:val="22"/>
                <w:lang w:val="fr"/>
              </w:rPr>
              <w:t>(160 femmes et 160 hommes).</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026F86A" w14:textId="77777777" w:rsidR="001B58C7" w:rsidRDefault="000F0E0E">
            <w:pPr>
              <w:spacing w:after="160" w:line="259" w:lineRule="auto"/>
              <w:rPr>
                <w:kern w:val="2"/>
                <w:sz w:val="22"/>
                <w:szCs w:val="22"/>
                <w:lang w:val="fr-FR"/>
              </w:rPr>
            </w:pPr>
            <w:r>
              <w:rPr>
                <w:kern w:val="2"/>
                <w:sz w:val="22"/>
                <w:szCs w:val="22"/>
                <w:lang w:val="fr-FR"/>
              </w:rPr>
              <w:t>160 (80 femmes et 80 hommes)</w:t>
            </w:r>
          </w:p>
          <w:p w14:paraId="3214C1EA" w14:textId="77777777" w:rsidR="001B58C7" w:rsidRDefault="001B58C7">
            <w:pPr>
              <w:spacing w:after="160" w:line="259" w:lineRule="auto"/>
              <w:rPr>
                <w:kern w:val="2"/>
                <w:sz w:val="22"/>
                <w:szCs w:val="22"/>
                <w:lang w:val="fr-FR"/>
              </w:rPr>
            </w:pPr>
          </w:p>
          <w:p w14:paraId="61600BD1" w14:textId="77777777" w:rsidR="001B58C7" w:rsidRDefault="000F0E0E">
            <w:pPr>
              <w:spacing w:after="160" w:line="259" w:lineRule="auto"/>
              <w:rPr>
                <w:kern w:val="2"/>
                <w:sz w:val="22"/>
                <w:szCs w:val="22"/>
                <w:lang w:val="fr-FR"/>
              </w:rPr>
            </w:pPr>
            <w:r>
              <w:rPr>
                <w:kern w:val="2"/>
                <w:sz w:val="22"/>
                <w:szCs w:val="22"/>
                <w:lang w:val="fr-FR"/>
              </w:rPr>
              <w:lastRenderedPageBreak/>
              <w:t>80 (40 hommes et 40 femmes)</w:t>
            </w:r>
          </w:p>
        </w:tc>
        <w:tc>
          <w:tcPr>
            <w:tcW w:w="23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B23AA6" w14:textId="77777777" w:rsidR="001B58C7" w:rsidRDefault="000F0E0E">
            <w:pPr>
              <w:spacing w:after="160" w:line="259" w:lineRule="auto"/>
              <w:rPr>
                <w:kern w:val="2"/>
                <w:sz w:val="22"/>
                <w:szCs w:val="22"/>
                <w:lang w:val="fr-FR"/>
              </w:rPr>
            </w:pPr>
            <w:r>
              <w:rPr>
                <w:kern w:val="2"/>
                <w:sz w:val="22"/>
                <w:szCs w:val="22"/>
                <w:lang w:val="fr-FR"/>
              </w:rPr>
              <w:lastRenderedPageBreak/>
              <w:t>240 (120 femmes et 120 hommes)</w:t>
            </w:r>
          </w:p>
          <w:p w14:paraId="1C80D776" w14:textId="77777777" w:rsidR="001B58C7" w:rsidRDefault="000F0E0E">
            <w:pPr>
              <w:spacing w:after="160" w:line="259" w:lineRule="auto"/>
              <w:rPr>
                <w:kern w:val="2"/>
                <w:sz w:val="22"/>
                <w:szCs w:val="22"/>
                <w:lang w:val="fr-FR"/>
              </w:rPr>
            </w:pPr>
            <w:r>
              <w:rPr>
                <w:kern w:val="2"/>
                <w:sz w:val="22"/>
                <w:szCs w:val="22"/>
                <w:lang w:val="fr-FR"/>
              </w:rPr>
              <w:t xml:space="preserve">NB : L’activité consiste à former les structures communautaires, notamment les Comités </w:t>
            </w:r>
            <w:r>
              <w:rPr>
                <w:kern w:val="2"/>
                <w:sz w:val="22"/>
                <w:szCs w:val="22"/>
                <w:lang w:val="fr-FR"/>
              </w:rPr>
              <w:lastRenderedPageBreak/>
              <w:t>Locaux de Protection (CLP), à la collecte, au référencement, à la documentation et à l’analyse des conflits ainsi que des incidents de protection. L’objectif est de responsabiliser les communautés afin qu’elles identifient elles-mêmes leurs problèmes de protection, les analysent et envisagent des réponses adaptées. Le projet prévoit la formation de 32 structures, déjà 16 ont été formes et chaque structure a 10 membres (5hommes et 5 femmes).</w:t>
            </w: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D68597" w14:textId="77777777" w:rsidR="001B58C7" w:rsidRDefault="000F0E0E">
            <w:pPr>
              <w:spacing w:after="160" w:line="276" w:lineRule="auto"/>
              <w:rPr>
                <w:kern w:val="2"/>
                <w:sz w:val="22"/>
                <w:szCs w:val="22"/>
                <w:lang w:val="fr"/>
              </w:rPr>
            </w:pPr>
            <w:r>
              <w:rPr>
                <w:kern w:val="2"/>
                <w:sz w:val="22"/>
                <w:szCs w:val="22"/>
                <w:lang w:val="fr"/>
              </w:rPr>
              <w:lastRenderedPageBreak/>
              <w:t>Activité continue</w:t>
            </w:r>
          </w:p>
        </w:tc>
      </w:tr>
      <w:tr w:rsidR="001B58C7" w:rsidRPr="00ED3A8A" w14:paraId="7C9C96B1" w14:textId="77777777">
        <w:trPr>
          <w:trHeight w:val="555"/>
        </w:trPr>
        <w:tc>
          <w:tcPr>
            <w:tcW w:w="25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74B06EF0" w14:textId="77777777" w:rsidR="001B58C7" w:rsidRPr="006B740B" w:rsidRDefault="000F0E0E">
            <w:pPr>
              <w:spacing w:after="160" w:line="276" w:lineRule="auto"/>
              <w:rPr>
                <w:kern w:val="2"/>
                <w:sz w:val="22"/>
                <w:szCs w:val="22"/>
                <w:lang w:val="fr-FR"/>
              </w:rPr>
            </w:pPr>
            <w:r>
              <w:rPr>
                <w:b/>
                <w:bCs/>
                <w:kern w:val="2"/>
                <w:sz w:val="22"/>
                <w:szCs w:val="22"/>
                <w:lang w:val="fr"/>
              </w:rPr>
              <w:t>Indicateur 3.1.4</w:t>
            </w:r>
          </w:p>
          <w:p w14:paraId="2F9CE4A0" w14:textId="77777777" w:rsidR="001B58C7" w:rsidRPr="006B740B" w:rsidRDefault="000F0E0E">
            <w:pPr>
              <w:spacing w:after="160" w:line="276" w:lineRule="auto"/>
              <w:rPr>
                <w:kern w:val="2"/>
                <w:sz w:val="22"/>
                <w:szCs w:val="22"/>
                <w:lang w:val="fr-FR"/>
              </w:rPr>
            </w:pPr>
            <w:r>
              <w:rPr>
                <w:kern w:val="2"/>
                <w:sz w:val="22"/>
                <w:szCs w:val="22"/>
                <w:lang w:val="fr"/>
              </w:rPr>
              <w:t xml:space="preserve">% des conflits et incidents de protection ayant des liens directs ou indirects avec les conflits collectés et documentées. </w:t>
            </w:r>
          </w:p>
        </w:tc>
        <w:tc>
          <w:tcPr>
            <w:tcW w:w="13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30FB9648" w14:textId="77777777" w:rsidR="001B58C7" w:rsidRDefault="000F0E0E">
            <w:pPr>
              <w:spacing w:after="160" w:line="276" w:lineRule="auto"/>
              <w:rPr>
                <w:kern w:val="2"/>
                <w:sz w:val="22"/>
                <w:szCs w:val="22"/>
              </w:rPr>
            </w:pPr>
            <w:r>
              <w:rPr>
                <w:b/>
                <w:bCs/>
                <w:kern w:val="2"/>
                <w:sz w:val="22"/>
                <w:szCs w:val="22"/>
                <w:lang w:val="fr"/>
              </w:rPr>
              <w:t xml:space="preserve">30 % </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3EC11EEC" w14:textId="77777777" w:rsidR="001B58C7" w:rsidRDefault="000F0E0E">
            <w:pPr>
              <w:spacing w:after="160" w:line="276" w:lineRule="auto"/>
              <w:rPr>
                <w:kern w:val="2"/>
                <w:sz w:val="22"/>
                <w:szCs w:val="22"/>
              </w:rPr>
            </w:pPr>
            <w:r>
              <w:rPr>
                <w:b/>
                <w:bCs/>
                <w:kern w:val="2"/>
                <w:sz w:val="22"/>
                <w:szCs w:val="22"/>
                <w:lang w:val="fr"/>
              </w:rPr>
              <w:t>60 %</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Mar>
              <w:left w:w="108" w:type="dxa"/>
              <w:right w:w="108" w:type="dxa"/>
            </w:tcMar>
          </w:tcPr>
          <w:p w14:paraId="11CC2A9D" w14:textId="77777777" w:rsidR="001B58C7" w:rsidRDefault="000F0E0E">
            <w:pPr>
              <w:spacing w:after="160" w:line="259" w:lineRule="auto"/>
              <w:rPr>
                <w:kern w:val="2"/>
                <w:sz w:val="22"/>
                <w:szCs w:val="22"/>
                <w:lang w:val="fr-FR"/>
              </w:rPr>
            </w:pPr>
            <w:r>
              <w:rPr>
                <w:kern w:val="2"/>
                <w:sz w:val="22"/>
                <w:szCs w:val="22"/>
                <w:lang w:val="fr-FR"/>
              </w:rPr>
              <w:t>6,5% soit 309 incidents de protection liés au conflit collectés et documentés sur 4750 incidents.</w:t>
            </w:r>
          </w:p>
          <w:p w14:paraId="608B8B92" w14:textId="77777777" w:rsidR="001B58C7" w:rsidRDefault="001B58C7">
            <w:pPr>
              <w:spacing w:after="160" w:line="259" w:lineRule="auto"/>
              <w:rPr>
                <w:kern w:val="2"/>
                <w:sz w:val="22"/>
                <w:szCs w:val="22"/>
                <w:lang w:val="fr-FR"/>
              </w:rPr>
            </w:pPr>
          </w:p>
          <w:p w14:paraId="64764544" w14:textId="77777777" w:rsidR="001B58C7" w:rsidRDefault="000F0E0E">
            <w:pPr>
              <w:spacing w:after="160" w:line="259" w:lineRule="auto"/>
              <w:rPr>
                <w:kern w:val="2"/>
                <w:sz w:val="22"/>
                <w:szCs w:val="22"/>
                <w:lang w:val="fr-FR"/>
              </w:rPr>
            </w:pPr>
            <w:r>
              <w:rPr>
                <w:kern w:val="2"/>
                <w:sz w:val="22"/>
                <w:szCs w:val="22"/>
                <w:lang w:val="fr-FR"/>
              </w:rPr>
              <w:t>33,6%</w:t>
            </w:r>
          </w:p>
          <w:p w14:paraId="284C2AC1" w14:textId="77777777" w:rsidR="001B58C7" w:rsidRDefault="001B58C7">
            <w:pPr>
              <w:spacing w:after="160" w:line="276" w:lineRule="auto"/>
              <w:rPr>
                <w:kern w:val="2"/>
                <w:sz w:val="22"/>
                <w:szCs w:val="22"/>
                <w:lang w:val="fr-FR"/>
              </w:rPr>
            </w:pPr>
          </w:p>
        </w:tc>
        <w:tc>
          <w:tcPr>
            <w:tcW w:w="23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Mar>
              <w:left w:w="108" w:type="dxa"/>
              <w:right w:w="108" w:type="dxa"/>
            </w:tcMar>
          </w:tcPr>
          <w:p w14:paraId="0D10FAEB" w14:textId="77777777" w:rsidR="001B58C7" w:rsidRDefault="000F0E0E">
            <w:pPr>
              <w:spacing w:after="160" w:line="259" w:lineRule="auto"/>
              <w:rPr>
                <w:kern w:val="2"/>
                <w:sz w:val="22"/>
                <w:szCs w:val="22"/>
                <w:lang w:val="fr-FR"/>
              </w:rPr>
            </w:pPr>
            <w:r>
              <w:rPr>
                <w:kern w:val="2"/>
                <w:sz w:val="22"/>
                <w:szCs w:val="22"/>
                <w:lang w:val="fr-FR"/>
              </w:rPr>
              <w:t>33,6% soit 1595 incidents de protection liés au conflit collectés et documentés sur 4750 incidents.</w:t>
            </w:r>
          </w:p>
          <w:p w14:paraId="5F76C3D0" w14:textId="77777777" w:rsidR="001B58C7" w:rsidRDefault="001B58C7">
            <w:pPr>
              <w:spacing w:after="160" w:line="276" w:lineRule="auto"/>
              <w:rPr>
                <w:kern w:val="2"/>
                <w:sz w:val="22"/>
                <w:szCs w:val="22"/>
                <w:lang w:val="fr-FR"/>
              </w:rPr>
            </w:pPr>
          </w:p>
        </w:tc>
        <w:tc>
          <w:tcPr>
            <w:tcW w:w="1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A42F679" w14:textId="77777777" w:rsidR="001B58C7" w:rsidRDefault="000F0E0E">
            <w:pPr>
              <w:spacing w:after="160" w:line="276" w:lineRule="auto"/>
              <w:rPr>
                <w:kern w:val="2"/>
                <w:sz w:val="22"/>
                <w:szCs w:val="22"/>
                <w:lang w:val="fr"/>
              </w:rPr>
            </w:pPr>
            <w:r>
              <w:rPr>
                <w:kern w:val="2"/>
                <w:sz w:val="22"/>
                <w:szCs w:val="22"/>
                <w:lang w:val="fr"/>
              </w:rPr>
              <w:t>Activité continue</w:t>
            </w:r>
          </w:p>
          <w:p w14:paraId="25F68016" w14:textId="77777777" w:rsidR="001B58C7" w:rsidRDefault="000F0E0E">
            <w:pPr>
              <w:spacing w:after="160" w:line="259" w:lineRule="auto"/>
              <w:rPr>
                <w:kern w:val="2"/>
                <w:sz w:val="22"/>
                <w:szCs w:val="22"/>
                <w:lang w:val="fr-FR"/>
              </w:rPr>
            </w:pPr>
            <w:r>
              <w:rPr>
                <w:kern w:val="2"/>
                <w:sz w:val="22"/>
                <w:szCs w:val="22"/>
                <w:lang w:val="fr-FR"/>
              </w:rPr>
              <w:t>(</w:t>
            </w:r>
            <w:proofErr w:type="gramStart"/>
            <w:r>
              <w:rPr>
                <w:kern w:val="2"/>
                <w:sz w:val="22"/>
                <w:szCs w:val="22"/>
                <w:lang w:val="fr-FR"/>
              </w:rPr>
              <w:t>monitoring</w:t>
            </w:r>
            <w:proofErr w:type="gramEnd"/>
            <w:r>
              <w:rPr>
                <w:kern w:val="2"/>
                <w:sz w:val="22"/>
                <w:szCs w:val="22"/>
                <w:lang w:val="fr-FR"/>
              </w:rPr>
              <w:t xml:space="preserve"> de protection : collecte, documentation et analyse des conflits et des incidents de protection. 4750 incidents de protection collectés et documentés dont 1595 incidents de protection liés au conflit)</w:t>
            </w:r>
          </w:p>
        </w:tc>
      </w:tr>
    </w:tbl>
    <w:p w14:paraId="1E4E082D" w14:textId="77777777" w:rsidR="001B58C7" w:rsidRDefault="000F0E0E">
      <w:pPr>
        <w:rPr>
          <w:lang w:val="fr-FR"/>
        </w:rPr>
      </w:pPr>
      <w:r>
        <w:rPr>
          <w:b/>
          <w:bCs/>
          <w:lang w:val="fr"/>
        </w:rPr>
        <w:t xml:space="preserve"> </w:t>
      </w:r>
    </w:p>
    <w:p w14:paraId="329C7433" w14:textId="77777777" w:rsidR="001B58C7" w:rsidRPr="006B740B" w:rsidRDefault="000F0E0E">
      <w:pPr>
        <w:ind w:left="-360"/>
        <w:rPr>
          <w:lang w:val="fr-FR"/>
        </w:rPr>
      </w:pPr>
      <w:r>
        <w:rPr>
          <w:b/>
          <w:bCs/>
          <w:lang w:val="fr"/>
        </w:rPr>
        <w:t xml:space="preserve">Produit 3.2 : Les structures et mécanismes communautaires de prévention, gestion, règlement et transformation pacifiques des conflits sont renforcés et soutenus. </w:t>
      </w:r>
    </w:p>
    <w:p w14:paraId="372297CD" w14:textId="77777777" w:rsidR="001B58C7" w:rsidRPr="006B740B" w:rsidRDefault="000F0E0E">
      <w:pPr>
        <w:ind w:left="-360"/>
        <w:rPr>
          <w:lang w:val="fr-FR"/>
        </w:rPr>
      </w:pPr>
      <w:r>
        <w:rPr>
          <w:b/>
          <w:bCs/>
          <w:lang w:val="fr"/>
        </w:rPr>
        <w:t xml:space="preserve"> </w:t>
      </w:r>
    </w:p>
    <w:tbl>
      <w:tblPr>
        <w:tblW w:w="10440" w:type="dxa"/>
        <w:tblInd w:w="-730" w:type="dxa"/>
        <w:tblLayout w:type="fixed"/>
        <w:tblLook w:val="04A0" w:firstRow="1" w:lastRow="0" w:firstColumn="1" w:lastColumn="0" w:noHBand="0" w:noVBand="1"/>
      </w:tblPr>
      <w:tblGrid>
        <w:gridCol w:w="2936"/>
        <w:gridCol w:w="1065"/>
        <w:gridCol w:w="859"/>
        <w:gridCol w:w="1620"/>
        <w:gridCol w:w="2700"/>
        <w:gridCol w:w="1260"/>
      </w:tblGrid>
      <w:tr w:rsidR="001B58C7" w:rsidRPr="00ED3A8A" w14:paraId="788C9329" w14:textId="77777777">
        <w:trPr>
          <w:trHeight w:val="300"/>
        </w:trPr>
        <w:tc>
          <w:tcPr>
            <w:tcW w:w="293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4526740E" w14:textId="77777777" w:rsidR="001B58C7" w:rsidRDefault="000F0E0E">
            <w:pPr>
              <w:spacing w:after="160" w:line="276" w:lineRule="auto"/>
              <w:rPr>
                <w:kern w:val="2"/>
                <w:sz w:val="22"/>
                <w:szCs w:val="22"/>
              </w:rPr>
            </w:pPr>
            <w:r>
              <w:rPr>
                <w:b/>
                <w:bCs/>
                <w:kern w:val="2"/>
                <w:sz w:val="22"/>
                <w:szCs w:val="22"/>
                <w:lang w:val="fr"/>
              </w:rPr>
              <w:t>Indicateurs de produit</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6F3F1C18" w14:textId="77777777" w:rsidR="001B58C7" w:rsidRDefault="000F0E0E">
            <w:pPr>
              <w:spacing w:after="160" w:line="276" w:lineRule="auto"/>
              <w:rPr>
                <w:kern w:val="2"/>
                <w:sz w:val="22"/>
                <w:szCs w:val="22"/>
              </w:rPr>
            </w:pPr>
            <w:r>
              <w:rPr>
                <w:b/>
                <w:bCs/>
                <w:kern w:val="2"/>
                <w:sz w:val="22"/>
                <w:szCs w:val="22"/>
                <w:lang w:val="fr"/>
              </w:rPr>
              <w:t>Indicateur de base</w:t>
            </w:r>
          </w:p>
        </w:tc>
        <w:tc>
          <w:tcPr>
            <w:tcW w:w="8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6325AAD8" w14:textId="77777777" w:rsidR="001B58C7" w:rsidRPr="006B740B" w:rsidRDefault="000F0E0E">
            <w:pPr>
              <w:spacing w:after="160" w:line="276" w:lineRule="auto"/>
              <w:rPr>
                <w:kern w:val="2"/>
                <w:sz w:val="22"/>
                <w:szCs w:val="22"/>
                <w:lang w:val="fr-FR"/>
              </w:rPr>
            </w:pPr>
            <w:r>
              <w:rPr>
                <w:b/>
                <w:bCs/>
                <w:kern w:val="2"/>
                <w:sz w:val="22"/>
                <w:szCs w:val="22"/>
                <w:lang w:val="fr"/>
              </w:rPr>
              <w:t>Cible de fin de projet</w:t>
            </w:r>
          </w:p>
        </w:tc>
        <w:tc>
          <w:tcPr>
            <w:tcW w:w="16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18107D" w14:textId="77777777" w:rsidR="001B58C7" w:rsidRPr="006B740B" w:rsidRDefault="000F0E0E">
            <w:pPr>
              <w:spacing w:after="160" w:line="276" w:lineRule="auto"/>
              <w:rPr>
                <w:kern w:val="2"/>
                <w:sz w:val="22"/>
                <w:szCs w:val="22"/>
                <w:lang w:val="fr-FR"/>
              </w:rPr>
            </w:pPr>
            <w:r>
              <w:rPr>
                <w:b/>
                <w:bCs/>
                <w:kern w:val="2"/>
                <w:sz w:val="22"/>
                <w:szCs w:val="22"/>
                <w:lang w:val="fr"/>
              </w:rPr>
              <w:t xml:space="preserve">Progrès de l’indicateur pour la </w:t>
            </w:r>
            <w:r>
              <w:rPr>
                <w:b/>
                <w:bCs/>
                <w:kern w:val="2"/>
                <w:sz w:val="22"/>
                <w:szCs w:val="22"/>
                <w:lang w:val="fr"/>
              </w:rPr>
              <w:lastRenderedPageBreak/>
              <w:t>période de référence</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13D5418" w14:textId="77777777" w:rsidR="001B58C7" w:rsidRPr="006B740B" w:rsidRDefault="000F0E0E">
            <w:pPr>
              <w:spacing w:after="160" w:line="276" w:lineRule="auto"/>
              <w:rPr>
                <w:kern w:val="2"/>
                <w:sz w:val="22"/>
                <w:szCs w:val="22"/>
                <w:lang w:val="fr-FR"/>
              </w:rPr>
            </w:pPr>
            <w:r>
              <w:rPr>
                <w:b/>
                <w:bCs/>
                <w:kern w:val="2"/>
                <w:sz w:val="22"/>
                <w:szCs w:val="22"/>
                <w:lang w:val="fr"/>
              </w:rPr>
              <w:lastRenderedPageBreak/>
              <w:t>Progrès actuel de l’indicateur depuis le début du projet</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8CFD78A" w14:textId="77777777" w:rsidR="001B58C7" w:rsidRPr="006B740B" w:rsidRDefault="000F0E0E">
            <w:pPr>
              <w:spacing w:after="160" w:line="276" w:lineRule="auto"/>
              <w:rPr>
                <w:kern w:val="2"/>
                <w:sz w:val="22"/>
                <w:szCs w:val="22"/>
                <w:lang w:val="fr-FR"/>
              </w:rPr>
            </w:pPr>
            <w:r>
              <w:rPr>
                <w:b/>
                <w:bCs/>
                <w:kern w:val="2"/>
                <w:sz w:val="22"/>
                <w:szCs w:val="22"/>
                <w:lang w:val="fr"/>
              </w:rPr>
              <w:t>Raisons pour les retards ou changeme</w:t>
            </w:r>
            <w:r>
              <w:rPr>
                <w:b/>
                <w:bCs/>
                <w:kern w:val="2"/>
                <w:sz w:val="22"/>
                <w:szCs w:val="22"/>
                <w:lang w:val="fr"/>
              </w:rPr>
              <w:lastRenderedPageBreak/>
              <w:t>nts (s'il y en a)</w:t>
            </w:r>
          </w:p>
        </w:tc>
      </w:tr>
      <w:tr w:rsidR="001B58C7" w:rsidRPr="00ED3A8A" w14:paraId="1E13B3D6" w14:textId="77777777">
        <w:trPr>
          <w:trHeight w:val="555"/>
        </w:trPr>
        <w:tc>
          <w:tcPr>
            <w:tcW w:w="293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43F6776B" w14:textId="77777777" w:rsidR="001B58C7" w:rsidRPr="006B740B" w:rsidRDefault="000F0E0E">
            <w:pPr>
              <w:spacing w:after="160" w:line="276" w:lineRule="auto"/>
              <w:rPr>
                <w:kern w:val="2"/>
                <w:sz w:val="22"/>
                <w:szCs w:val="22"/>
                <w:lang w:val="fr-FR"/>
              </w:rPr>
            </w:pPr>
            <w:r>
              <w:rPr>
                <w:b/>
                <w:bCs/>
                <w:kern w:val="2"/>
                <w:sz w:val="22"/>
                <w:szCs w:val="22"/>
                <w:lang w:val="fr"/>
              </w:rPr>
              <w:lastRenderedPageBreak/>
              <w:t>Indicateur 3.2.1</w:t>
            </w:r>
          </w:p>
          <w:p w14:paraId="61501085" w14:textId="77777777" w:rsidR="001B58C7" w:rsidRPr="006B740B" w:rsidRDefault="000F0E0E">
            <w:pPr>
              <w:spacing w:after="160" w:line="276" w:lineRule="auto"/>
              <w:rPr>
                <w:kern w:val="2"/>
                <w:sz w:val="22"/>
                <w:szCs w:val="22"/>
                <w:lang w:val="fr-FR"/>
              </w:rPr>
            </w:pPr>
            <w:r>
              <w:rPr>
                <w:kern w:val="2"/>
                <w:sz w:val="22"/>
                <w:szCs w:val="22"/>
                <w:lang w:val="fr"/>
              </w:rPr>
              <w:t>Nombre des plans communautaires de réponse aux conflits élaborés</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5796B78D" w14:textId="77777777" w:rsidR="001B58C7" w:rsidRDefault="000F0E0E">
            <w:pPr>
              <w:spacing w:after="160" w:line="276" w:lineRule="auto"/>
              <w:rPr>
                <w:kern w:val="2"/>
                <w:sz w:val="22"/>
                <w:szCs w:val="22"/>
              </w:rPr>
            </w:pPr>
            <w:r>
              <w:rPr>
                <w:b/>
                <w:bCs/>
                <w:kern w:val="2"/>
                <w:sz w:val="22"/>
                <w:szCs w:val="22"/>
                <w:lang w:val="fr"/>
              </w:rPr>
              <w:t>0</w:t>
            </w:r>
          </w:p>
        </w:tc>
        <w:tc>
          <w:tcPr>
            <w:tcW w:w="8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4C0C7204" w14:textId="77777777" w:rsidR="001B58C7" w:rsidRDefault="000F0E0E">
            <w:pPr>
              <w:spacing w:after="160" w:line="276" w:lineRule="auto"/>
              <w:rPr>
                <w:b/>
                <w:bCs/>
                <w:kern w:val="2"/>
                <w:sz w:val="22"/>
                <w:szCs w:val="22"/>
                <w:lang w:val="fr"/>
              </w:rPr>
            </w:pPr>
            <w:r>
              <w:rPr>
                <w:b/>
                <w:bCs/>
                <w:kern w:val="2"/>
                <w:sz w:val="22"/>
                <w:szCs w:val="22"/>
                <w:lang w:val="fr"/>
              </w:rPr>
              <w:t>16</w:t>
            </w:r>
          </w:p>
        </w:tc>
        <w:tc>
          <w:tcPr>
            <w:tcW w:w="16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7EDC79" w14:textId="77777777" w:rsidR="001B58C7" w:rsidRDefault="000F0E0E">
            <w:pPr>
              <w:spacing w:after="160" w:line="259" w:lineRule="auto"/>
              <w:rPr>
                <w:kern w:val="2"/>
                <w:sz w:val="22"/>
                <w:szCs w:val="22"/>
                <w:lang w:val="fr-FR"/>
              </w:rPr>
            </w:pPr>
            <w:r>
              <w:rPr>
                <w:kern w:val="2"/>
                <w:sz w:val="22"/>
                <w:szCs w:val="22"/>
                <w:lang w:val="fr-FR"/>
              </w:rPr>
              <w:t xml:space="preserve">8 plans </w:t>
            </w:r>
            <w:r>
              <w:rPr>
                <w:kern w:val="2"/>
                <w:sz w:val="22"/>
                <w:szCs w:val="22"/>
                <w:lang w:val="fr"/>
              </w:rPr>
              <w:t>é</w:t>
            </w:r>
            <w:proofErr w:type="spellStart"/>
            <w:r>
              <w:rPr>
                <w:kern w:val="2"/>
                <w:sz w:val="22"/>
                <w:szCs w:val="22"/>
                <w:lang w:val="fr-FR"/>
              </w:rPr>
              <w:t>labor</w:t>
            </w:r>
            <w:proofErr w:type="spellEnd"/>
            <w:r>
              <w:rPr>
                <w:kern w:val="2"/>
                <w:sz w:val="22"/>
                <w:szCs w:val="22"/>
                <w:lang w:val="fr"/>
              </w:rPr>
              <w:t>é</w:t>
            </w:r>
            <w:r>
              <w:rPr>
                <w:kern w:val="2"/>
                <w:sz w:val="22"/>
                <w:szCs w:val="22"/>
                <w:lang w:val="fr-FR"/>
              </w:rPr>
              <w:t>s</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1DCB957" w14:textId="77777777" w:rsidR="001B58C7" w:rsidRDefault="000F0E0E">
            <w:pPr>
              <w:spacing w:after="160" w:line="259" w:lineRule="auto"/>
              <w:rPr>
                <w:kern w:val="2"/>
                <w:sz w:val="22"/>
                <w:szCs w:val="22"/>
                <w:lang w:val="fr-FR"/>
              </w:rPr>
            </w:pPr>
            <w:r>
              <w:rPr>
                <w:kern w:val="2"/>
                <w:sz w:val="22"/>
                <w:szCs w:val="22"/>
                <w:lang w:val="fr-FR"/>
              </w:rPr>
              <w:t xml:space="preserve">8 plans </w:t>
            </w:r>
            <w:r>
              <w:rPr>
                <w:kern w:val="2"/>
                <w:sz w:val="22"/>
                <w:szCs w:val="22"/>
                <w:lang w:val="fr"/>
              </w:rPr>
              <w:t>é</w:t>
            </w:r>
            <w:proofErr w:type="spellStart"/>
            <w:r>
              <w:rPr>
                <w:kern w:val="2"/>
                <w:sz w:val="22"/>
                <w:szCs w:val="22"/>
                <w:lang w:val="fr-FR"/>
              </w:rPr>
              <w:t>labor</w:t>
            </w:r>
            <w:proofErr w:type="spellEnd"/>
            <w:r>
              <w:rPr>
                <w:kern w:val="2"/>
                <w:sz w:val="22"/>
                <w:szCs w:val="22"/>
                <w:lang w:val="fr"/>
              </w:rPr>
              <w:t>é</w:t>
            </w:r>
            <w:r>
              <w:rPr>
                <w:kern w:val="2"/>
                <w:sz w:val="22"/>
                <w:szCs w:val="22"/>
                <w:lang w:val="fr-FR"/>
              </w:rPr>
              <w:t xml:space="preserve">s (Demba, </w:t>
            </w:r>
            <w:proofErr w:type="spellStart"/>
            <w:r>
              <w:rPr>
                <w:kern w:val="2"/>
                <w:sz w:val="22"/>
                <w:szCs w:val="22"/>
                <w:lang w:val="fr-FR"/>
              </w:rPr>
              <w:t>Dibaya</w:t>
            </w:r>
            <w:proofErr w:type="spellEnd"/>
            <w:r>
              <w:rPr>
                <w:kern w:val="2"/>
                <w:sz w:val="22"/>
                <w:szCs w:val="22"/>
                <w:lang w:val="fr-FR"/>
              </w:rPr>
              <w:t xml:space="preserve">, Luiza et la ville de Kananga au Kasai Central ; </w:t>
            </w:r>
            <w:proofErr w:type="spellStart"/>
            <w:r>
              <w:rPr>
                <w:kern w:val="2"/>
                <w:sz w:val="22"/>
                <w:szCs w:val="22"/>
                <w:lang w:val="fr-FR"/>
              </w:rPr>
              <w:t>Kamonia</w:t>
            </w:r>
            <w:proofErr w:type="spellEnd"/>
            <w:r>
              <w:rPr>
                <w:kern w:val="2"/>
                <w:sz w:val="22"/>
                <w:szCs w:val="22"/>
                <w:lang w:val="fr-FR"/>
              </w:rPr>
              <w:t xml:space="preserve">, </w:t>
            </w:r>
            <w:proofErr w:type="spellStart"/>
            <w:r>
              <w:rPr>
                <w:kern w:val="2"/>
                <w:sz w:val="22"/>
                <w:szCs w:val="22"/>
                <w:lang w:val="fr-FR"/>
              </w:rPr>
              <w:t>Luebo</w:t>
            </w:r>
            <w:proofErr w:type="spellEnd"/>
            <w:r>
              <w:rPr>
                <w:kern w:val="2"/>
                <w:sz w:val="22"/>
                <w:szCs w:val="22"/>
                <w:lang w:val="fr-FR"/>
              </w:rPr>
              <w:t xml:space="preserve">, </w:t>
            </w:r>
            <w:proofErr w:type="spellStart"/>
            <w:r>
              <w:rPr>
                <w:kern w:val="2"/>
                <w:sz w:val="22"/>
                <w:szCs w:val="22"/>
                <w:lang w:val="fr-FR"/>
              </w:rPr>
              <w:t>Mweka</w:t>
            </w:r>
            <w:proofErr w:type="spellEnd"/>
            <w:r>
              <w:rPr>
                <w:kern w:val="2"/>
                <w:sz w:val="22"/>
                <w:szCs w:val="22"/>
                <w:lang w:val="fr-FR"/>
              </w:rPr>
              <w:t xml:space="preserve"> et la ville de Tshikapa au Kasai</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BF1EF6" w14:textId="77777777" w:rsidR="001B58C7" w:rsidRDefault="001B58C7">
            <w:pPr>
              <w:spacing w:after="160" w:line="276" w:lineRule="auto"/>
              <w:rPr>
                <w:kern w:val="2"/>
                <w:sz w:val="22"/>
                <w:szCs w:val="22"/>
                <w:lang w:val="fr"/>
              </w:rPr>
            </w:pPr>
          </w:p>
        </w:tc>
      </w:tr>
      <w:tr w:rsidR="001B58C7" w14:paraId="5C182AAB" w14:textId="77777777">
        <w:trPr>
          <w:trHeight w:val="555"/>
        </w:trPr>
        <w:tc>
          <w:tcPr>
            <w:tcW w:w="293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74E6E4F1" w14:textId="77777777" w:rsidR="001B58C7" w:rsidRPr="006B740B" w:rsidRDefault="000F0E0E">
            <w:pPr>
              <w:spacing w:after="160" w:line="276" w:lineRule="auto"/>
              <w:rPr>
                <w:kern w:val="2"/>
                <w:sz w:val="22"/>
                <w:szCs w:val="22"/>
                <w:lang w:val="fr-FR"/>
              </w:rPr>
            </w:pPr>
            <w:r>
              <w:rPr>
                <w:b/>
                <w:bCs/>
                <w:kern w:val="2"/>
                <w:sz w:val="22"/>
                <w:szCs w:val="22"/>
                <w:lang w:val="fr"/>
              </w:rPr>
              <w:t>Indicateur 3.2.2</w:t>
            </w:r>
          </w:p>
          <w:p w14:paraId="58E9E756" w14:textId="77777777" w:rsidR="001B58C7" w:rsidRPr="006B740B" w:rsidRDefault="000F0E0E">
            <w:pPr>
              <w:spacing w:after="160" w:line="276" w:lineRule="auto"/>
              <w:rPr>
                <w:kern w:val="2"/>
                <w:sz w:val="22"/>
                <w:szCs w:val="22"/>
                <w:lang w:val="fr-FR"/>
              </w:rPr>
            </w:pPr>
            <w:r>
              <w:rPr>
                <w:kern w:val="2"/>
                <w:sz w:val="22"/>
                <w:szCs w:val="22"/>
                <w:lang w:val="fr"/>
              </w:rPr>
              <w:t>Nombre des structures communautaires de prévention, gestion et transformation des conflits fonctionnels et opérationnels bénéficiaires d’un soutien financier</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205CBCC4" w14:textId="77777777" w:rsidR="001B58C7" w:rsidRDefault="000F0E0E">
            <w:pPr>
              <w:spacing w:after="160" w:line="276" w:lineRule="auto"/>
              <w:rPr>
                <w:kern w:val="2"/>
                <w:sz w:val="22"/>
                <w:szCs w:val="22"/>
              </w:rPr>
            </w:pPr>
            <w:r>
              <w:rPr>
                <w:b/>
                <w:bCs/>
                <w:kern w:val="2"/>
                <w:sz w:val="22"/>
                <w:szCs w:val="22"/>
                <w:lang w:val="fr"/>
              </w:rPr>
              <w:t>0</w:t>
            </w:r>
          </w:p>
        </w:tc>
        <w:tc>
          <w:tcPr>
            <w:tcW w:w="8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20C25B9C" w14:textId="77777777" w:rsidR="001B58C7" w:rsidRDefault="000F0E0E">
            <w:pPr>
              <w:spacing w:after="160" w:line="276" w:lineRule="auto"/>
              <w:rPr>
                <w:b/>
                <w:bCs/>
                <w:kern w:val="2"/>
                <w:sz w:val="22"/>
                <w:szCs w:val="22"/>
                <w:lang w:val="fr"/>
              </w:rPr>
            </w:pPr>
            <w:r>
              <w:rPr>
                <w:b/>
                <w:bCs/>
                <w:kern w:val="2"/>
                <w:sz w:val="22"/>
                <w:szCs w:val="22"/>
                <w:lang w:val="fr"/>
              </w:rPr>
              <w:t>8</w:t>
            </w:r>
          </w:p>
        </w:tc>
        <w:tc>
          <w:tcPr>
            <w:tcW w:w="16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B41302F" w14:textId="77777777" w:rsidR="001B58C7" w:rsidRDefault="000F0E0E">
            <w:pPr>
              <w:spacing w:after="160" w:line="276" w:lineRule="auto"/>
              <w:rPr>
                <w:kern w:val="2"/>
                <w:sz w:val="22"/>
                <w:szCs w:val="22"/>
                <w:lang w:val="fr-FR"/>
              </w:rPr>
            </w:pPr>
            <w:r>
              <w:rPr>
                <w:kern w:val="2"/>
                <w:sz w:val="22"/>
                <w:szCs w:val="22"/>
                <w:lang w:val="fr-FR"/>
              </w:rPr>
              <w:t>4 plans communautaires de réponse aux conflits soutenus</w:t>
            </w:r>
            <w:r>
              <w:rPr>
                <w:rStyle w:val="Appelnotedebasdep"/>
                <w:kern w:val="2"/>
                <w:sz w:val="22"/>
                <w:szCs w:val="22"/>
                <w:lang w:val="fr-FR"/>
              </w:rPr>
              <w:footnoteReference w:id="4"/>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EE263F9" w14:textId="77777777" w:rsidR="001B58C7" w:rsidRDefault="000F0E0E">
            <w:pPr>
              <w:spacing w:after="160" w:line="276" w:lineRule="auto"/>
              <w:rPr>
                <w:kern w:val="2"/>
                <w:sz w:val="22"/>
                <w:szCs w:val="22"/>
                <w:lang w:val="fr-FR"/>
              </w:rPr>
            </w:pPr>
            <w:r>
              <w:rPr>
                <w:kern w:val="2"/>
                <w:sz w:val="22"/>
                <w:szCs w:val="22"/>
                <w:lang w:val="fr-FR"/>
              </w:rPr>
              <w:t>4 plans soutenus</w:t>
            </w:r>
          </w:p>
          <w:p w14:paraId="7E222CAF" w14:textId="77777777" w:rsidR="001B58C7" w:rsidRDefault="001B58C7">
            <w:pPr>
              <w:spacing w:after="160" w:line="276" w:lineRule="auto"/>
              <w:rPr>
                <w:kern w:val="2"/>
                <w:sz w:val="22"/>
                <w:szCs w:val="22"/>
                <w:lang w:val="fr-FR"/>
              </w:rPr>
            </w:pP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191EB4" w14:textId="77777777" w:rsidR="001B58C7" w:rsidRDefault="000F0E0E">
            <w:pPr>
              <w:spacing w:after="160" w:line="276" w:lineRule="auto"/>
              <w:rPr>
                <w:kern w:val="2"/>
                <w:sz w:val="22"/>
                <w:szCs w:val="22"/>
                <w:lang w:val="fr"/>
              </w:rPr>
            </w:pPr>
            <w:r>
              <w:rPr>
                <w:kern w:val="2"/>
                <w:sz w:val="22"/>
                <w:szCs w:val="22"/>
                <w:lang w:val="fr"/>
              </w:rPr>
              <w:t>Activité continue</w:t>
            </w:r>
          </w:p>
          <w:p w14:paraId="5EBB8CDF" w14:textId="77777777" w:rsidR="001B58C7" w:rsidRDefault="001B58C7">
            <w:pPr>
              <w:spacing w:after="160" w:line="276" w:lineRule="auto"/>
              <w:rPr>
                <w:kern w:val="2"/>
                <w:sz w:val="22"/>
                <w:szCs w:val="22"/>
                <w:lang w:val="fr"/>
              </w:rPr>
            </w:pPr>
          </w:p>
        </w:tc>
      </w:tr>
      <w:tr w:rsidR="001B58C7" w14:paraId="5556BF9A" w14:textId="77777777">
        <w:trPr>
          <w:trHeight w:val="555"/>
        </w:trPr>
        <w:tc>
          <w:tcPr>
            <w:tcW w:w="293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2629B990" w14:textId="77777777" w:rsidR="001B58C7" w:rsidRPr="006B740B" w:rsidRDefault="000F0E0E">
            <w:pPr>
              <w:spacing w:after="160" w:line="276" w:lineRule="auto"/>
              <w:rPr>
                <w:kern w:val="2"/>
                <w:sz w:val="22"/>
                <w:szCs w:val="22"/>
                <w:lang w:val="fr-FR"/>
              </w:rPr>
            </w:pPr>
            <w:r>
              <w:rPr>
                <w:b/>
                <w:bCs/>
                <w:kern w:val="2"/>
                <w:sz w:val="22"/>
                <w:szCs w:val="22"/>
                <w:lang w:val="fr"/>
              </w:rPr>
              <w:t>Indicateur 3.2.3</w:t>
            </w:r>
          </w:p>
          <w:p w14:paraId="29C0A22E" w14:textId="77777777" w:rsidR="001B58C7" w:rsidRDefault="000F0E0E">
            <w:pPr>
              <w:spacing w:after="160" w:line="276" w:lineRule="auto"/>
              <w:rPr>
                <w:kern w:val="2"/>
                <w:sz w:val="22"/>
                <w:szCs w:val="22"/>
                <w:lang w:val="fr"/>
              </w:rPr>
            </w:pPr>
            <w:r>
              <w:rPr>
                <w:kern w:val="2"/>
                <w:sz w:val="22"/>
                <w:szCs w:val="22"/>
                <w:lang w:val="fr"/>
              </w:rPr>
              <w:t>Nombre des victimes d’incidents de protection ayant un lien direct ou indirect avec les conflits documentés bénéficiaires d’une prise en charge holistique</w:t>
            </w:r>
          </w:p>
          <w:p w14:paraId="5E1A8285" w14:textId="77777777" w:rsidR="001B58C7" w:rsidRDefault="001B58C7">
            <w:pPr>
              <w:spacing w:after="160" w:line="276" w:lineRule="auto"/>
              <w:rPr>
                <w:kern w:val="2"/>
                <w:sz w:val="22"/>
                <w:szCs w:val="22"/>
                <w:lang w:val="fr"/>
              </w:rPr>
            </w:pPr>
          </w:p>
          <w:p w14:paraId="3A0E10EB" w14:textId="77777777" w:rsidR="001B58C7" w:rsidRPr="006B740B" w:rsidRDefault="001B58C7">
            <w:pPr>
              <w:spacing w:after="160" w:line="276" w:lineRule="auto"/>
              <w:rPr>
                <w:kern w:val="2"/>
                <w:sz w:val="22"/>
                <w:szCs w:val="22"/>
                <w:lang w:val="fr-FR"/>
              </w:rPr>
            </w:pP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48ABD0BA" w14:textId="77777777" w:rsidR="001B58C7" w:rsidRDefault="000F0E0E">
            <w:pPr>
              <w:spacing w:after="160" w:line="276" w:lineRule="auto"/>
              <w:rPr>
                <w:kern w:val="2"/>
                <w:sz w:val="22"/>
                <w:szCs w:val="22"/>
              </w:rPr>
            </w:pPr>
            <w:r>
              <w:rPr>
                <w:b/>
                <w:bCs/>
                <w:kern w:val="2"/>
                <w:sz w:val="22"/>
                <w:szCs w:val="22"/>
                <w:lang w:val="fr"/>
              </w:rPr>
              <w:t>0</w:t>
            </w:r>
          </w:p>
        </w:tc>
        <w:tc>
          <w:tcPr>
            <w:tcW w:w="8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027342BF" w14:textId="77777777" w:rsidR="001B58C7" w:rsidRPr="006B740B" w:rsidRDefault="000F0E0E">
            <w:pPr>
              <w:spacing w:after="160" w:line="276" w:lineRule="auto"/>
              <w:rPr>
                <w:kern w:val="2"/>
                <w:sz w:val="22"/>
                <w:szCs w:val="22"/>
                <w:lang w:val="fr-FR"/>
              </w:rPr>
            </w:pPr>
            <w:r>
              <w:rPr>
                <w:b/>
                <w:bCs/>
                <w:kern w:val="2"/>
                <w:sz w:val="22"/>
                <w:szCs w:val="22"/>
                <w:lang w:val="fr"/>
              </w:rPr>
              <w:t xml:space="preserve">2000 </w:t>
            </w:r>
            <w:r>
              <w:rPr>
                <w:kern w:val="2"/>
                <w:sz w:val="22"/>
                <w:szCs w:val="22"/>
                <w:lang w:val="fr"/>
              </w:rPr>
              <w:t>(38% femmes, 25% filles, 22% hommes et 15% garçons)</w:t>
            </w:r>
          </w:p>
        </w:tc>
        <w:tc>
          <w:tcPr>
            <w:tcW w:w="16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Mar>
              <w:left w:w="108" w:type="dxa"/>
              <w:right w:w="108" w:type="dxa"/>
            </w:tcMar>
          </w:tcPr>
          <w:p w14:paraId="1AD43E54" w14:textId="77777777" w:rsidR="001B58C7" w:rsidRDefault="000F0E0E">
            <w:pPr>
              <w:spacing w:after="160" w:line="259" w:lineRule="auto"/>
              <w:rPr>
                <w:kern w:val="2"/>
                <w:sz w:val="22"/>
                <w:szCs w:val="22"/>
                <w:lang w:val="fr-FR"/>
              </w:rPr>
            </w:pPr>
            <w:bookmarkStart w:id="2" w:name="_Hlk230757220"/>
            <w:r>
              <w:rPr>
                <w:kern w:val="2"/>
                <w:sz w:val="22"/>
                <w:szCs w:val="22"/>
                <w:lang w:val="fr-FR"/>
              </w:rPr>
              <w:t>76 soit 3,8% (6 femmes, 38 filles, 25 hommes, 7 garçons)</w:t>
            </w:r>
          </w:p>
          <w:bookmarkEnd w:id="2"/>
          <w:p w14:paraId="5B67E50C" w14:textId="77777777" w:rsidR="001B58C7" w:rsidRDefault="001B58C7">
            <w:pPr>
              <w:spacing w:after="160" w:line="259" w:lineRule="auto"/>
              <w:rPr>
                <w:kern w:val="2"/>
                <w:sz w:val="22"/>
                <w:szCs w:val="22"/>
                <w:lang w:val="fr-FR"/>
              </w:rPr>
            </w:pPr>
          </w:p>
          <w:p w14:paraId="3BCAE79C" w14:textId="77777777" w:rsidR="001B58C7" w:rsidRDefault="001B58C7">
            <w:pPr>
              <w:spacing w:after="160" w:line="259" w:lineRule="auto"/>
              <w:rPr>
                <w:kern w:val="2"/>
                <w:sz w:val="22"/>
                <w:szCs w:val="22"/>
                <w:lang w:val="fr-FR"/>
              </w:rPr>
            </w:pP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DD6EE" w:themeFill="accent5" w:themeFillTint="66"/>
            <w:tcMar>
              <w:left w:w="108" w:type="dxa"/>
              <w:right w:w="108" w:type="dxa"/>
            </w:tcMar>
          </w:tcPr>
          <w:p w14:paraId="722414E0" w14:textId="77777777" w:rsidR="001B58C7" w:rsidRDefault="000F0E0E">
            <w:pPr>
              <w:spacing w:after="160" w:line="259" w:lineRule="auto"/>
              <w:rPr>
                <w:kern w:val="2"/>
                <w:sz w:val="22"/>
                <w:szCs w:val="22"/>
                <w:lang w:val="fr-FR"/>
              </w:rPr>
            </w:pPr>
            <w:bookmarkStart w:id="3" w:name="_Hlk230756989"/>
            <w:r>
              <w:rPr>
                <w:kern w:val="2"/>
                <w:sz w:val="22"/>
                <w:szCs w:val="22"/>
                <w:lang w:val="fr-FR"/>
              </w:rPr>
              <w:t>1140 soit 57% (465 femmes soit 23,3%, 392 filles soit 19,6% 143 hommes soit 7,1%, et 140 garçons soit 7%)</w:t>
            </w:r>
          </w:p>
          <w:bookmarkEnd w:id="3"/>
          <w:p w14:paraId="6D41C0F8" w14:textId="77777777" w:rsidR="001B58C7" w:rsidRDefault="000F0E0E">
            <w:pPr>
              <w:spacing w:after="160" w:line="259" w:lineRule="auto"/>
              <w:rPr>
                <w:kern w:val="2"/>
                <w:sz w:val="22"/>
                <w:szCs w:val="22"/>
                <w:lang w:val="fr-FR"/>
              </w:rPr>
            </w:pPr>
            <w:r>
              <w:rPr>
                <w:kern w:val="2"/>
                <w:sz w:val="22"/>
                <w:szCs w:val="22"/>
                <w:lang w:val="fr-FR"/>
              </w:rPr>
              <w:t>NB : La référence se fait par les moniteurs et les structures communautaires, tels que les Comités Locaux de Protection (CLP), au moyen d’une note intégrée au dossier. Un panel de validation des cas nécessitant une assistance en espèces existe également au Kasaï et au Kasaï-Central, avec la participation de la Commission Nationale pour les Réfugiés (CNR), du HCR et des autres partenaires de mise en œuvre.</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E94E401" w14:textId="77777777" w:rsidR="001B58C7" w:rsidRDefault="000F0E0E">
            <w:pPr>
              <w:spacing w:after="160" w:line="276" w:lineRule="auto"/>
              <w:rPr>
                <w:kern w:val="2"/>
                <w:sz w:val="22"/>
                <w:szCs w:val="22"/>
                <w:lang w:val="fr"/>
              </w:rPr>
            </w:pPr>
            <w:r>
              <w:rPr>
                <w:kern w:val="2"/>
                <w:sz w:val="22"/>
                <w:szCs w:val="22"/>
                <w:lang w:val="fr"/>
              </w:rPr>
              <w:t>Activité continue</w:t>
            </w:r>
          </w:p>
          <w:p w14:paraId="00FBC239" w14:textId="77777777" w:rsidR="001B58C7" w:rsidRDefault="001B58C7">
            <w:pPr>
              <w:spacing w:after="160" w:line="276" w:lineRule="auto"/>
              <w:rPr>
                <w:b/>
                <w:bCs/>
                <w:kern w:val="2"/>
                <w:sz w:val="22"/>
                <w:szCs w:val="22"/>
                <w:lang w:val="fr"/>
              </w:rPr>
            </w:pPr>
          </w:p>
        </w:tc>
      </w:tr>
      <w:tr w:rsidR="001B58C7" w14:paraId="108A5815" w14:textId="77777777">
        <w:trPr>
          <w:trHeight w:val="555"/>
        </w:trPr>
        <w:tc>
          <w:tcPr>
            <w:tcW w:w="293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7C0147F1" w14:textId="77777777" w:rsidR="001B58C7" w:rsidRPr="006B740B" w:rsidRDefault="000F0E0E">
            <w:pPr>
              <w:spacing w:after="160" w:line="276" w:lineRule="auto"/>
              <w:rPr>
                <w:kern w:val="2"/>
                <w:sz w:val="22"/>
                <w:szCs w:val="22"/>
                <w:lang w:val="fr-FR"/>
              </w:rPr>
            </w:pPr>
            <w:r>
              <w:rPr>
                <w:b/>
                <w:bCs/>
                <w:kern w:val="2"/>
                <w:sz w:val="22"/>
                <w:szCs w:val="22"/>
                <w:lang w:val="fr"/>
              </w:rPr>
              <w:t>Indicateur 3.2.4</w:t>
            </w:r>
          </w:p>
          <w:p w14:paraId="5831DB6A" w14:textId="77777777" w:rsidR="001B58C7" w:rsidRDefault="000F0E0E">
            <w:pPr>
              <w:spacing w:after="160" w:line="276" w:lineRule="auto"/>
              <w:rPr>
                <w:kern w:val="2"/>
                <w:sz w:val="22"/>
                <w:szCs w:val="22"/>
                <w:lang w:val="fr"/>
              </w:rPr>
            </w:pPr>
            <w:r>
              <w:rPr>
                <w:kern w:val="2"/>
                <w:sz w:val="22"/>
                <w:szCs w:val="22"/>
                <w:lang w:val="fr"/>
              </w:rPr>
              <w:t xml:space="preserve">Nombre des agents des services techniques de l’État </w:t>
            </w:r>
            <w:r>
              <w:rPr>
                <w:kern w:val="2"/>
                <w:sz w:val="22"/>
                <w:szCs w:val="22"/>
                <w:lang w:val="fr"/>
              </w:rPr>
              <w:lastRenderedPageBreak/>
              <w:t xml:space="preserve">situés dans des zones post-conflit frontalières formé. </w:t>
            </w:r>
          </w:p>
          <w:p w14:paraId="0BBB5CE2" w14:textId="77777777" w:rsidR="001B58C7" w:rsidRPr="006B740B" w:rsidRDefault="000F0E0E">
            <w:pPr>
              <w:spacing w:after="160" w:line="276" w:lineRule="auto"/>
              <w:rPr>
                <w:kern w:val="2"/>
                <w:sz w:val="22"/>
                <w:szCs w:val="22"/>
                <w:lang w:val="fr-FR"/>
              </w:rPr>
            </w:pPr>
            <w:r>
              <w:rPr>
                <w:kern w:val="2"/>
                <w:sz w:val="22"/>
                <w:szCs w:val="22"/>
                <w:lang w:val="fr"/>
              </w:rPr>
              <w:t xml:space="preserve">NB : </w:t>
            </w:r>
            <w:r>
              <w:rPr>
                <w:kern w:val="2"/>
                <w:sz w:val="22"/>
                <w:szCs w:val="22"/>
                <w:lang w:val="fr-FR"/>
              </w:rPr>
              <w:t xml:space="preserve">Services : Direction Générale de Migration (DGM), Agence Nationale de Renseignement (ANR), Police Nationale Congolaise (PNC), Police de frontière, Programme National d’Hygiène a la Frontière (PNHF) et autorités administratives et coutumières des localités situées </w:t>
            </w:r>
            <w:proofErr w:type="spellStart"/>
            <w:r>
              <w:rPr>
                <w:kern w:val="2"/>
                <w:sz w:val="22"/>
                <w:szCs w:val="22"/>
                <w:lang w:val="fr-FR"/>
              </w:rPr>
              <w:t>a</w:t>
            </w:r>
            <w:proofErr w:type="spellEnd"/>
            <w:r>
              <w:rPr>
                <w:kern w:val="2"/>
                <w:sz w:val="22"/>
                <w:szCs w:val="22"/>
                <w:lang w:val="fr-FR"/>
              </w:rPr>
              <w:t xml:space="preserve"> la frontière. Lieux : Kalamba-</w:t>
            </w:r>
            <w:proofErr w:type="spellStart"/>
            <w:r>
              <w:rPr>
                <w:kern w:val="2"/>
                <w:sz w:val="22"/>
                <w:szCs w:val="22"/>
                <w:lang w:val="fr-FR"/>
              </w:rPr>
              <w:t>mbuji</w:t>
            </w:r>
            <w:proofErr w:type="spellEnd"/>
            <w:r>
              <w:rPr>
                <w:kern w:val="2"/>
                <w:sz w:val="22"/>
                <w:szCs w:val="22"/>
                <w:lang w:val="fr-FR"/>
              </w:rPr>
              <w:t xml:space="preserve">, Luiza centre au Kasai et </w:t>
            </w:r>
            <w:proofErr w:type="spellStart"/>
            <w:r>
              <w:rPr>
                <w:kern w:val="2"/>
                <w:sz w:val="22"/>
                <w:szCs w:val="22"/>
                <w:lang w:val="fr-FR"/>
              </w:rPr>
              <w:t>Kamako</w:t>
            </w:r>
            <w:proofErr w:type="spellEnd"/>
            <w:r>
              <w:rPr>
                <w:kern w:val="2"/>
                <w:sz w:val="22"/>
                <w:szCs w:val="22"/>
                <w:lang w:val="fr-FR"/>
              </w:rPr>
              <w:t xml:space="preserve">, Kandaji et </w:t>
            </w:r>
            <w:proofErr w:type="spellStart"/>
            <w:r>
              <w:rPr>
                <w:kern w:val="2"/>
                <w:sz w:val="22"/>
                <w:szCs w:val="22"/>
                <w:lang w:val="fr-FR"/>
              </w:rPr>
              <w:t>Kamonia</w:t>
            </w:r>
            <w:proofErr w:type="spellEnd"/>
            <w:r>
              <w:rPr>
                <w:kern w:val="2"/>
                <w:sz w:val="22"/>
                <w:szCs w:val="22"/>
                <w:lang w:val="fr-FR"/>
              </w:rPr>
              <w:t xml:space="preserve"> centre au Kasai.</w:t>
            </w:r>
          </w:p>
        </w:tc>
        <w:tc>
          <w:tcPr>
            <w:tcW w:w="10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2DE708BE" w14:textId="77777777" w:rsidR="001B58C7" w:rsidRDefault="000F0E0E">
            <w:pPr>
              <w:spacing w:after="160" w:line="276" w:lineRule="auto"/>
              <w:rPr>
                <w:kern w:val="2"/>
                <w:sz w:val="22"/>
                <w:szCs w:val="22"/>
              </w:rPr>
            </w:pPr>
            <w:r>
              <w:rPr>
                <w:b/>
                <w:bCs/>
                <w:kern w:val="2"/>
                <w:sz w:val="22"/>
                <w:szCs w:val="22"/>
                <w:lang w:val="fr"/>
              </w:rPr>
              <w:lastRenderedPageBreak/>
              <w:t xml:space="preserve">20 </w:t>
            </w:r>
            <w:r>
              <w:rPr>
                <w:kern w:val="2"/>
                <w:sz w:val="22"/>
                <w:szCs w:val="22"/>
                <w:lang w:val="fr"/>
              </w:rPr>
              <w:t>(13 hommes et 7 femmes).</w:t>
            </w:r>
          </w:p>
        </w:tc>
        <w:tc>
          <w:tcPr>
            <w:tcW w:w="8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EECE1"/>
            <w:tcMar>
              <w:left w:w="108" w:type="dxa"/>
              <w:right w:w="108" w:type="dxa"/>
            </w:tcMar>
          </w:tcPr>
          <w:p w14:paraId="1347352C" w14:textId="77777777" w:rsidR="001B58C7" w:rsidRPr="006B740B" w:rsidRDefault="000F0E0E">
            <w:pPr>
              <w:spacing w:after="160" w:line="276" w:lineRule="auto"/>
              <w:rPr>
                <w:kern w:val="2"/>
                <w:sz w:val="22"/>
                <w:szCs w:val="22"/>
                <w:lang w:val="fr-FR"/>
              </w:rPr>
            </w:pPr>
            <w:r>
              <w:rPr>
                <w:b/>
                <w:bCs/>
                <w:kern w:val="2"/>
                <w:sz w:val="22"/>
                <w:szCs w:val="22"/>
                <w:lang w:val="fr"/>
              </w:rPr>
              <w:t xml:space="preserve">150 </w:t>
            </w:r>
            <w:r>
              <w:rPr>
                <w:kern w:val="2"/>
                <w:sz w:val="22"/>
                <w:szCs w:val="22"/>
                <w:lang w:val="fr"/>
              </w:rPr>
              <w:t xml:space="preserve">(75 personnes de </w:t>
            </w:r>
            <w:r>
              <w:rPr>
                <w:kern w:val="2"/>
                <w:sz w:val="22"/>
                <w:szCs w:val="22"/>
                <w:lang w:val="fr"/>
              </w:rPr>
              <w:lastRenderedPageBreak/>
              <w:t>sexe masculin et 75 de sexe féminin : 30 hommes &amp; 45 garçons, 40 femmes &amp; 35 filles).</w:t>
            </w:r>
          </w:p>
        </w:tc>
        <w:tc>
          <w:tcPr>
            <w:tcW w:w="16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DCF8BCA" w14:textId="77777777" w:rsidR="001B58C7" w:rsidRDefault="000F0E0E">
            <w:pPr>
              <w:spacing w:after="160" w:line="276" w:lineRule="auto"/>
              <w:rPr>
                <w:kern w:val="2"/>
                <w:sz w:val="22"/>
                <w:szCs w:val="22"/>
                <w:lang w:val="fr-FR"/>
              </w:rPr>
            </w:pPr>
            <w:r>
              <w:rPr>
                <w:kern w:val="2"/>
                <w:sz w:val="22"/>
                <w:szCs w:val="22"/>
                <w:lang w:val="fr-FR"/>
              </w:rPr>
              <w:lastRenderedPageBreak/>
              <w:t>40 (16 femmes soit 40%, et 24 hommes, soit 60%)</w:t>
            </w:r>
          </w:p>
        </w:tc>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E327DB5" w14:textId="77777777" w:rsidR="001B58C7" w:rsidRDefault="000F0E0E">
            <w:pPr>
              <w:spacing w:after="160" w:line="276" w:lineRule="auto"/>
              <w:rPr>
                <w:kern w:val="2"/>
                <w:sz w:val="22"/>
                <w:szCs w:val="22"/>
                <w:lang w:val="fr-FR"/>
              </w:rPr>
            </w:pPr>
            <w:r>
              <w:rPr>
                <w:kern w:val="2"/>
                <w:sz w:val="22"/>
                <w:szCs w:val="22"/>
                <w:lang w:val="fr-FR"/>
              </w:rPr>
              <w:t>40 (16 femmes soit 40%, et 24 hommes, soit 60%)</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20D3A82" w14:textId="77777777" w:rsidR="001B58C7" w:rsidRDefault="000F0E0E">
            <w:pPr>
              <w:spacing w:after="160" w:line="276" w:lineRule="auto"/>
              <w:rPr>
                <w:b/>
                <w:bCs/>
                <w:kern w:val="2"/>
                <w:sz w:val="22"/>
                <w:szCs w:val="22"/>
                <w:lang w:val="fr"/>
              </w:rPr>
            </w:pPr>
            <w:r>
              <w:rPr>
                <w:kern w:val="2"/>
                <w:sz w:val="22"/>
                <w:szCs w:val="22"/>
                <w:lang w:val="fr"/>
              </w:rPr>
              <w:t>Activité continue</w:t>
            </w:r>
            <w:r>
              <w:rPr>
                <w:b/>
                <w:bCs/>
                <w:kern w:val="2"/>
                <w:sz w:val="22"/>
                <w:szCs w:val="22"/>
                <w:lang w:val="fr"/>
              </w:rPr>
              <w:t xml:space="preserve"> </w:t>
            </w:r>
          </w:p>
        </w:tc>
      </w:tr>
    </w:tbl>
    <w:p w14:paraId="2661E2B7" w14:textId="77777777" w:rsidR="001B58C7" w:rsidRDefault="001B58C7">
      <w:pPr>
        <w:rPr>
          <w:b/>
          <w:bCs/>
          <w:color w:val="FF0000"/>
          <w:u w:val="single"/>
          <w:lang w:val="fr-FR"/>
        </w:rPr>
      </w:pPr>
    </w:p>
    <w:p w14:paraId="14434C18" w14:textId="77777777" w:rsidR="001B58C7" w:rsidRDefault="000F0E0E">
      <w:pPr>
        <w:rPr>
          <w:b/>
          <w:bCs/>
          <w:color w:val="FF0000"/>
          <w:u w:val="single"/>
          <w:lang w:val="fr-FR"/>
        </w:rPr>
      </w:pPr>
      <w:r>
        <w:rPr>
          <w:b/>
          <w:bCs/>
          <w:color w:val="FF0000"/>
          <w:u w:val="single"/>
          <w:lang w:val="fr-FR"/>
        </w:rPr>
        <w:t>Merci de reproduire le rapport détaillé pour chaque indicateur sous chaque résultat et leurs produits.</w:t>
      </w:r>
    </w:p>
    <w:p w14:paraId="74CADE60" w14:textId="77777777" w:rsidR="001B58C7" w:rsidRDefault="001B58C7">
      <w:pPr>
        <w:rPr>
          <w:b/>
          <w:u w:val="single"/>
          <w:lang w:val="fr-FR"/>
        </w:rPr>
      </w:pPr>
    </w:p>
    <w:p w14:paraId="25C208C8" w14:textId="77777777" w:rsidR="001B58C7" w:rsidRDefault="000F0E0E">
      <w:pPr>
        <w:rPr>
          <w:b/>
          <w:lang w:val="fr-FR"/>
        </w:rPr>
      </w:pPr>
      <w:r>
        <w:rPr>
          <w:b/>
          <w:u w:val="single"/>
          <w:lang w:val="fr-FR"/>
        </w:rPr>
        <w:t xml:space="preserve">PARTIE </w:t>
      </w:r>
      <w:proofErr w:type="gramStart"/>
      <w:r>
        <w:rPr>
          <w:b/>
          <w:u w:val="single"/>
          <w:lang w:val="fr-FR"/>
        </w:rPr>
        <w:t>III:</w:t>
      </w:r>
      <w:proofErr w:type="gramEnd"/>
      <w:r>
        <w:rPr>
          <w:b/>
          <w:u w:val="single"/>
          <w:lang w:val="fr-FR"/>
        </w:rPr>
        <w:t xml:space="preserve"> QUESTIONS TRANSVERSALES</w:t>
      </w:r>
    </w:p>
    <w:p w14:paraId="1FD79688" w14:textId="77777777" w:rsidR="001B58C7" w:rsidRDefault="001B58C7">
      <w:pPr>
        <w:ind w:left="-180"/>
        <w:rPr>
          <w:b/>
          <w:lang w:val="fr-FR"/>
        </w:rPr>
      </w:pPr>
    </w:p>
    <w:p w14:paraId="2CB6A9E3" w14:textId="77777777" w:rsidR="001B58C7" w:rsidRDefault="000F0E0E">
      <w:pPr>
        <w:ind w:left="-180"/>
        <w:rPr>
          <w:bCs/>
          <w:lang w:val="fr-FR"/>
        </w:rPr>
      </w:pPr>
      <w:r>
        <w:rPr>
          <w:bCs/>
          <w:lang w:val="fr-FR"/>
        </w:rPr>
        <w:t xml:space="preserve">Le projet prévoit-il d'organiser des événements au cours des six prochains mois, par exemple : les dialogues nationaux, les congrès des jeunes, les projections de films : </w:t>
      </w:r>
      <w:r>
        <w:rPr>
          <w:b/>
          <w:color w:val="0000FF"/>
          <w:lang w:val="fr-FR"/>
        </w:rPr>
        <w:t>OUI.</w:t>
      </w:r>
    </w:p>
    <w:p w14:paraId="76A03211" w14:textId="77777777" w:rsidR="001B58C7" w:rsidRDefault="001B58C7">
      <w:pPr>
        <w:ind w:left="-180"/>
        <w:rPr>
          <w:bCs/>
          <w:lang w:val="fr-FR"/>
        </w:rPr>
      </w:pPr>
    </w:p>
    <w:p w14:paraId="7AADB6C0" w14:textId="77777777" w:rsidR="001B58C7" w:rsidRDefault="000F0E0E">
      <w:pPr>
        <w:ind w:left="-180"/>
        <w:rPr>
          <w:bCs/>
          <w:lang w:val="fr-FR"/>
        </w:rPr>
      </w:pPr>
      <w:r>
        <w:rPr>
          <w:bCs/>
          <w:lang w:val="fr-FR"/>
        </w:rPr>
        <w:t>Si oui, indiquez combien d'événements, et pour chacun, la date approximative et une brève description, incluant les objectifs, l'audience cible et le lieu (si connu)</w:t>
      </w:r>
    </w:p>
    <w:p w14:paraId="7548D843" w14:textId="77777777" w:rsidR="001B58C7" w:rsidRDefault="001B58C7">
      <w:pPr>
        <w:ind w:left="-180"/>
        <w:rPr>
          <w:b/>
          <w:u w:val="single"/>
          <w:lang w:val="fr-FR"/>
        </w:rPr>
      </w:pPr>
    </w:p>
    <w:tbl>
      <w:tblPr>
        <w:tblStyle w:val="Grilledutableau"/>
        <w:tblW w:w="9180" w:type="dxa"/>
        <w:tblInd w:w="-185" w:type="dxa"/>
        <w:tblLayout w:type="fixed"/>
        <w:tblLook w:val="04A0" w:firstRow="1" w:lastRow="0" w:firstColumn="1" w:lastColumn="0" w:noHBand="0" w:noVBand="1"/>
      </w:tblPr>
      <w:tblGrid>
        <w:gridCol w:w="2070"/>
        <w:gridCol w:w="1080"/>
        <w:gridCol w:w="1080"/>
        <w:gridCol w:w="1440"/>
        <w:gridCol w:w="3510"/>
      </w:tblGrid>
      <w:tr w:rsidR="001B58C7" w14:paraId="0B30CF7B" w14:textId="77777777">
        <w:tc>
          <w:tcPr>
            <w:tcW w:w="2070" w:type="dxa"/>
          </w:tcPr>
          <w:p w14:paraId="069D6D91" w14:textId="77777777" w:rsidR="001B58C7" w:rsidRDefault="000F0E0E">
            <w:pPr>
              <w:spacing w:after="160" w:line="276" w:lineRule="auto"/>
              <w:rPr>
                <w:b/>
                <w:i/>
                <w:iCs/>
                <w:kern w:val="2"/>
                <w:sz w:val="22"/>
                <w:szCs w:val="22"/>
                <w:lang w:val="fr-FR"/>
              </w:rPr>
            </w:pPr>
            <w:r>
              <w:rPr>
                <w:b/>
                <w:i/>
                <w:iCs/>
                <w:kern w:val="2"/>
                <w:sz w:val="22"/>
                <w:szCs w:val="22"/>
                <w:lang w:val="fr-FR"/>
              </w:rPr>
              <w:t>Titre de l'événement</w:t>
            </w:r>
          </w:p>
        </w:tc>
        <w:tc>
          <w:tcPr>
            <w:tcW w:w="1080" w:type="dxa"/>
          </w:tcPr>
          <w:p w14:paraId="60810474" w14:textId="77777777" w:rsidR="001B58C7" w:rsidRDefault="000F0E0E">
            <w:pPr>
              <w:spacing w:after="160" w:line="276" w:lineRule="auto"/>
              <w:rPr>
                <w:b/>
                <w:i/>
                <w:iCs/>
                <w:kern w:val="2"/>
                <w:sz w:val="22"/>
                <w:szCs w:val="22"/>
                <w:lang w:val="fr-FR"/>
              </w:rPr>
            </w:pPr>
            <w:r>
              <w:rPr>
                <w:b/>
                <w:i/>
                <w:iCs/>
                <w:kern w:val="2"/>
                <w:sz w:val="22"/>
                <w:szCs w:val="22"/>
                <w:lang w:val="fr-FR"/>
              </w:rPr>
              <w:t>Date (peut être approximative)</w:t>
            </w:r>
          </w:p>
        </w:tc>
        <w:tc>
          <w:tcPr>
            <w:tcW w:w="1080" w:type="dxa"/>
          </w:tcPr>
          <w:p w14:paraId="5094B97F" w14:textId="77777777" w:rsidR="001B58C7" w:rsidRDefault="000F0E0E">
            <w:pPr>
              <w:spacing w:after="160" w:line="276" w:lineRule="auto"/>
              <w:rPr>
                <w:b/>
                <w:i/>
                <w:iCs/>
                <w:kern w:val="2"/>
                <w:sz w:val="22"/>
                <w:szCs w:val="22"/>
                <w:lang w:val="fr-FR"/>
              </w:rPr>
            </w:pPr>
            <w:r>
              <w:rPr>
                <w:b/>
                <w:i/>
                <w:iCs/>
                <w:kern w:val="2"/>
                <w:sz w:val="22"/>
                <w:szCs w:val="22"/>
                <w:lang w:val="fr-FR"/>
              </w:rPr>
              <w:t xml:space="preserve">Lieu </w:t>
            </w:r>
          </w:p>
          <w:p w14:paraId="749D116E" w14:textId="77777777" w:rsidR="001B58C7" w:rsidRDefault="000F0E0E">
            <w:pPr>
              <w:spacing w:after="160" w:line="276" w:lineRule="auto"/>
              <w:rPr>
                <w:b/>
                <w:i/>
                <w:iCs/>
                <w:kern w:val="2"/>
                <w:sz w:val="22"/>
                <w:szCs w:val="22"/>
                <w:lang w:val="fr-FR"/>
              </w:rPr>
            </w:pPr>
            <w:r>
              <w:rPr>
                <w:b/>
                <w:i/>
                <w:iCs/>
                <w:kern w:val="2"/>
                <w:sz w:val="22"/>
                <w:szCs w:val="22"/>
                <w:lang w:val="fr-FR"/>
              </w:rPr>
              <w:t>(Si connu)</w:t>
            </w:r>
          </w:p>
        </w:tc>
        <w:tc>
          <w:tcPr>
            <w:tcW w:w="1440" w:type="dxa"/>
          </w:tcPr>
          <w:p w14:paraId="48B29010" w14:textId="77777777" w:rsidR="001B58C7" w:rsidRDefault="000F0E0E">
            <w:pPr>
              <w:spacing w:after="160" w:line="276" w:lineRule="auto"/>
              <w:rPr>
                <w:b/>
                <w:i/>
                <w:iCs/>
                <w:kern w:val="2"/>
                <w:sz w:val="22"/>
                <w:szCs w:val="22"/>
                <w:lang w:val="fr-FR"/>
              </w:rPr>
            </w:pPr>
            <w:r>
              <w:rPr>
                <w:b/>
                <w:i/>
                <w:iCs/>
                <w:kern w:val="2"/>
                <w:sz w:val="22"/>
                <w:szCs w:val="22"/>
                <w:lang w:val="fr-FR"/>
              </w:rPr>
              <w:t>Audience Cible</w:t>
            </w:r>
          </w:p>
        </w:tc>
        <w:tc>
          <w:tcPr>
            <w:tcW w:w="3510" w:type="dxa"/>
          </w:tcPr>
          <w:p w14:paraId="054D8D42" w14:textId="77777777" w:rsidR="001B58C7" w:rsidRDefault="000F0E0E">
            <w:pPr>
              <w:spacing w:after="160" w:line="276" w:lineRule="auto"/>
              <w:rPr>
                <w:b/>
                <w:i/>
                <w:iCs/>
                <w:kern w:val="2"/>
                <w:sz w:val="22"/>
                <w:szCs w:val="22"/>
                <w:lang w:val="fr-FR"/>
              </w:rPr>
            </w:pPr>
            <w:r>
              <w:rPr>
                <w:b/>
                <w:i/>
                <w:iCs/>
                <w:kern w:val="2"/>
                <w:sz w:val="22"/>
                <w:szCs w:val="22"/>
                <w:lang w:val="fr-FR"/>
              </w:rPr>
              <w:t xml:space="preserve">Objectifs </w:t>
            </w:r>
            <w:r>
              <w:rPr>
                <w:rFonts w:eastAsia="Calibri"/>
                <w:b/>
                <w:i/>
                <w:iCs/>
                <w:kern w:val="2"/>
                <w:sz w:val="22"/>
                <w:szCs w:val="22"/>
                <w:lang w:val="fr-FR" w:eastAsia="zh-CN"/>
              </w:rPr>
              <w:t>(900 caractères)</w:t>
            </w:r>
          </w:p>
        </w:tc>
      </w:tr>
      <w:tr w:rsidR="001B58C7" w:rsidRPr="00ED3A8A" w14:paraId="692BE190" w14:textId="77777777">
        <w:trPr>
          <w:trHeight w:val="567"/>
        </w:trPr>
        <w:tc>
          <w:tcPr>
            <w:tcW w:w="2070" w:type="dxa"/>
            <w:vAlign w:val="center"/>
          </w:tcPr>
          <w:p w14:paraId="6A94657E" w14:textId="77777777" w:rsidR="001B58C7" w:rsidRDefault="000F0E0E">
            <w:pPr>
              <w:spacing w:after="160" w:line="276" w:lineRule="auto"/>
              <w:rPr>
                <w:kern w:val="2"/>
                <w:sz w:val="22"/>
                <w:szCs w:val="22"/>
                <w:lang w:val="fr-FR"/>
              </w:rPr>
            </w:pPr>
            <w:r>
              <w:rPr>
                <w:kern w:val="2"/>
                <w:sz w:val="22"/>
                <w:szCs w:val="22"/>
                <w:lang w:val="fr"/>
              </w:rPr>
              <w:t>Dialogue stratégique avec les Universités du Kasai</w:t>
            </w:r>
          </w:p>
        </w:tc>
        <w:tc>
          <w:tcPr>
            <w:tcW w:w="1080" w:type="dxa"/>
            <w:vAlign w:val="center"/>
          </w:tcPr>
          <w:p w14:paraId="5A067B5F" w14:textId="77777777" w:rsidR="001B58C7" w:rsidRDefault="000F0E0E">
            <w:pPr>
              <w:spacing w:after="160" w:line="276" w:lineRule="auto"/>
              <w:rPr>
                <w:kern w:val="2"/>
                <w:sz w:val="22"/>
                <w:szCs w:val="22"/>
                <w:lang w:val="fr-FR"/>
              </w:rPr>
            </w:pPr>
            <w:r>
              <w:rPr>
                <w:kern w:val="2"/>
                <w:sz w:val="22"/>
                <w:szCs w:val="22"/>
                <w:lang w:val="fr-FR"/>
              </w:rPr>
              <w:t>11 juillet 2026</w:t>
            </w:r>
          </w:p>
        </w:tc>
        <w:tc>
          <w:tcPr>
            <w:tcW w:w="1080" w:type="dxa"/>
            <w:vAlign w:val="center"/>
          </w:tcPr>
          <w:p w14:paraId="45B7DB3B" w14:textId="77777777" w:rsidR="001B58C7" w:rsidRDefault="000F0E0E">
            <w:pPr>
              <w:spacing w:after="160" w:line="276" w:lineRule="auto"/>
              <w:rPr>
                <w:kern w:val="2"/>
                <w:sz w:val="22"/>
                <w:szCs w:val="22"/>
                <w:lang w:val="fr-FR"/>
              </w:rPr>
            </w:pPr>
            <w:r>
              <w:rPr>
                <w:kern w:val="2"/>
                <w:sz w:val="22"/>
                <w:szCs w:val="22"/>
                <w:lang w:val="fr-FR"/>
              </w:rPr>
              <w:t>Kananga</w:t>
            </w:r>
          </w:p>
        </w:tc>
        <w:tc>
          <w:tcPr>
            <w:tcW w:w="1440" w:type="dxa"/>
            <w:vAlign w:val="center"/>
          </w:tcPr>
          <w:p w14:paraId="3962399B" w14:textId="77777777" w:rsidR="001B58C7" w:rsidRDefault="000F0E0E">
            <w:pPr>
              <w:spacing w:after="160" w:line="276" w:lineRule="auto"/>
              <w:rPr>
                <w:kern w:val="2"/>
                <w:sz w:val="22"/>
                <w:szCs w:val="22"/>
                <w:lang w:val="fr-FR"/>
              </w:rPr>
            </w:pPr>
            <w:r>
              <w:rPr>
                <w:kern w:val="2"/>
                <w:sz w:val="22"/>
                <w:szCs w:val="22"/>
                <w:lang w:val="fr"/>
              </w:rPr>
              <w:t xml:space="preserve">Communauté universitaire </w:t>
            </w:r>
          </w:p>
        </w:tc>
        <w:tc>
          <w:tcPr>
            <w:tcW w:w="3510" w:type="dxa"/>
            <w:vAlign w:val="center"/>
          </w:tcPr>
          <w:p w14:paraId="0848BA9E" w14:textId="77777777" w:rsidR="001B58C7" w:rsidRDefault="000F0E0E">
            <w:pPr>
              <w:spacing w:after="160" w:line="276" w:lineRule="auto"/>
              <w:jc w:val="both"/>
              <w:rPr>
                <w:kern w:val="2"/>
                <w:sz w:val="22"/>
                <w:szCs w:val="22"/>
                <w:lang w:val="fr-FR"/>
              </w:rPr>
            </w:pPr>
            <w:r>
              <w:rPr>
                <w:kern w:val="2"/>
                <w:sz w:val="22"/>
                <w:szCs w:val="22"/>
                <w:lang w:val="fr-FR"/>
              </w:rPr>
              <w:t>Promouvoir, à travers un dialogue stratégique avec les universités du Kasaï, l’ancrage durable de la justice transitionnelle dans les espaces académiques afin de consolider la paix, renforcer la compréhension partagée des principes de vérité, justice, réparation et non-répétition, et mobiliser les jeunes générations comme acteurs du changement et de la transformation des mentalités en République Démocratique du Congo.</w:t>
            </w:r>
          </w:p>
        </w:tc>
      </w:tr>
      <w:tr w:rsidR="001B58C7" w:rsidRPr="00ED3A8A" w14:paraId="33DBB977" w14:textId="77777777">
        <w:trPr>
          <w:trHeight w:val="567"/>
        </w:trPr>
        <w:tc>
          <w:tcPr>
            <w:tcW w:w="2070" w:type="dxa"/>
            <w:vAlign w:val="center"/>
          </w:tcPr>
          <w:p w14:paraId="53794AEC" w14:textId="77777777" w:rsidR="001B58C7" w:rsidRDefault="000F0E0E">
            <w:pPr>
              <w:spacing w:after="160" w:line="276" w:lineRule="auto"/>
              <w:rPr>
                <w:kern w:val="2"/>
                <w:sz w:val="22"/>
                <w:szCs w:val="22"/>
                <w:lang w:val="fr-FR"/>
              </w:rPr>
            </w:pPr>
            <w:r>
              <w:rPr>
                <w:kern w:val="2"/>
                <w:sz w:val="22"/>
                <w:szCs w:val="22"/>
                <w:lang w:val="fr-FR"/>
              </w:rPr>
              <w:lastRenderedPageBreak/>
              <w:t>Sensibilisation des populations locales et Coaching des OSC sur les MARC &amp; la médiation (la consolidation de la paix)</w:t>
            </w:r>
          </w:p>
          <w:p w14:paraId="6F3C1201" w14:textId="77777777" w:rsidR="001B58C7" w:rsidRDefault="001B58C7">
            <w:pPr>
              <w:spacing w:after="160" w:line="276" w:lineRule="auto"/>
              <w:rPr>
                <w:kern w:val="2"/>
                <w:sz w:val="22"/>
                <w:szCs w:val="22"/>
                <w:lang w:val="fr-FR"/>
              </w:rPr>
            </w:pPr>
          </w:p>
          <w:p w14:paraId="6E8B9B22" w14:textId="77777777" w:rsidR="001B58C7" w:rsidRDefault="000F0E0E">
            <w:pPr>
              <w:spacing w:after="160" w:line="276" w:lineRule="auto"/>
              <w:rPr>
                <w:kern w:val="2"/>
                <w:sz w:val="22"/>
                <w:szCs w:val="22"/>
                <w:lang w:val="fr-FR"/>
              </w:rPr>
            </w:pPr>
            <w:r>
              <w:rPr>
                <w:kern w:val="2"/>
                <w:sz w:val="22"/>
                <w:szCs w:val="22"/>
                <w:lang w:val="fr-FR"/>
              </w:rPr>
              <w:t xml:space="preserve">NB : le présent projet comprend plus des zones (PAJURR avait couvert </w:t>
            </w:r>
            <w:proofErr w:type="spellStart"/>
            <w:r>
              <w:rPr>
                <w:kern w:val="2"/>
                <w:sz w:val="22"/>
                <w:szCs w:val="22"/>
                <w:lang w:val="fr-FR"/>
              </w:rPr>
              <w:t>Kazumba</w:t>
            </w:r>
            <w:proofErr w:type="spellEnd"/>
            <w:r>
              <w:rPr>
                <w:kern w:val="2"/>
                <w:sz w:val="22"/>
                <w:szCs w:val="22"/>
                <w:lang w:val="fr-FR"/>
              </w:rPr>
              <w:t>, Luiza, Dibaya et Kananga)</w:t>
            </w:r>
          </w:p>
        </w:tc>
        <w:tc>
          <w:tcPr>
            <w:tcW w:w="1080" w:type="dxa"/>
            <w:vAlign w:val="center"/>
          </w:tcPr>
          <w:p w14:paraId="7CCB6168" w14:textId="77777777" w:rsidR="001B58C7" w:rsidRDefault="001B58C7">
            <w:pPr>
              <w:spacing w:after="160" w:line="276" w:lineRule="auto"/>
              <w:jc w:val="both"/>
              <w:rPr>
                <w:kern w:val="2"/>
                <w:sz w:val="22"/>
                <w:szCs w:val="22"/>
                <w:lang w:val="fr-FR"/>
              </w:rPr>
            </w:pPr>
          </w:p>
        </w:tc>
        <w:tc>
          <w:tcPr>
            <w:tcW w:w="1080" w:type="dxa"/>
            <w:vAlign w:val="center"/>
          </w:tcPr>
          <w:p w14:paraId="2164CEF1" w14:textId="77777777" w:rsidR="001B58C7" w:rsidRDefault="000F0E0E">
            <w:pPr>
              <w:spacing w:after="160" w:line="276" w:lineRule="auto"/>
              <w:rPr>
                <w:kern w:val="2"/>
                <w:sz w:val="22"/>
                <w:szCs w:val="22"/>
                <w:lang w:val="fr-FR"/>
              </w:rPr>
            </w:pPr>
            <w:r>
              <w:rPr>
                <w:kern w:val="2"/>
                <w:sz w:val="22"/>
                <w:szCs w:val="22"/>
                <w:lang w:val="fr-FR"/>
              </w:rPr>
              <w:t>Provinces du Kasai &amp; Kasai Central</w:t>
            </w:r>
          </w:p>
        </w:tc>
        <w:tc>
          <w:tcPr>
            <w:tcW w:w="1440" w:type="dxa"/>
            <w:vAlign w:val="center"/>
          </w:tcPr>
          <w:p w14:paraId="3363A647" w14:textId="77777777" w:rsidR="001B58C7" w:rsidRDefault="000F0E0E">
            <w:pPr>
              <w:spacing w:after="160" w:line="276" w:lineRule="auto"/>
              <w:jc w:val="both"/>
              <w:rPr>
                <w:kern w:val="2"/>
                <w:sz w:val="22"/>
                <w:szCs w:val="22"/>
                <w:lang w:val="fr-FR"/>
              </w:rPr>
            </w:pPr>
            <w:r>
              <w:rPr>
                <w:kern w:val="2"/>
                <w:sz w:val="22"/>
                <w:szCs w:val="22"/>
                <w:lang w:val="fr-FR"/>
              </w:rPr>
              <w:t>Communautés locales et autorités coutumières &amp; traditionnelles.</w:t>
            </w:r>
          </w:p>
        </w:tc>
        <w:tc>
          <w:tcPr>
            <w:tcW w:w="3510" w:type="dxa"/>
            <w:vAlign w:val="center"/>
          </w:tcPr>
          <w:p w14:paraId="10EECA83" w14:textId="77777777" w:rsidR="001B58C7" w:rsidRDefault="000F0E0E">
            <w:pPr>
              <w:spacing w:after="160" w:line="276" w:lineRule="auto"/>
              <w:jc w:val="both"/>
              <w:rPr>
                <w:kern w:val="2"/>
                <w:sz w:val="22"/>
                <w:szCs w:val="22"/>
                <w:lang w:val="fr-FR"/>
              </w:rPr>
            </w:pPr>
            <w:r>
              <w:rPr>
                <w:kern w:val="2"/>
                <w:sz w:val="22"/>
                <w:szCs w:val="22"/>
                <w:lang w:val="fr-FR"/>
              </w:rPr>
              <w:t>Renforcer les capacités des médiateurs de paix et des acteurs de la société civile afin d’améliorer la qualité et l’impact de leurs actions de sensibilisation sur la consolidation de la paix. L’intervention vise à doter ces acteurs de compétences techniques en médiation, communication communautaire et gestion de conflits, ainsi que d’outils adaptés pour mobiliser les populations, prévenir les tensions et promouvoir des comportements pacifiques. Cette montée en compétence permettra d’ancrer durablement une c</w:t>
            </w:r>
            <w:r>
              <w:rPr>
                <w:kern w:val="2"/>
                <w:sz w:val="22"/>
                <w:szCs w:val="22"/>
                <w:lang w:val="fr-FR"/>
              </w:rPr>
              <w:t>ulture locale de dialogue, de tolérance et de cohabitation pacifique.</w:t>
            </w:r>
          </w:p>
        </w:tc>
      </w:tr>
      <w:tr w:rsidR="001B58C7" w:rsidRPr="00ED3A8A" w14:paraId="0BEA0E58" w14:textId="77777777">
        <w:trPr>
          <w:trHeight w:val="567"/>
        </w:trPr>
        <w:tc>
          <w:tcPr>
            <w:tcW w:w="2070" w:type="dxa"/>
            <w:vAlign w:val="center"/>
          </w:tcPr>
          <w:p w14:paraId="0F66D4B6" w14:textId="77777777" w:rsidR="001B58C7" w:rsidRDefault="000F0E0E">
            <w:pPr>
              <w:spacing w:after="160" w:line="276" w:lineRule="auto"/>
              <w:rPr>
                <w:bCs/>
                <w:kern w:val="2"/>
                <w:lang w:val="fr-FR"/>
              </w:rPr>
            </w:pPr>
            <w:r>
              <w:rPr>
                <w:bCs/>
                <w:kern w:val="2"/>
                <w:lang w:val="fr-FR"/>
              </w:rPr>
              <w:t>Café Juridique sur la pertinence des audiences foraines en matière de crimes de droit international &amp; VSLC et la Consolidation de la paix au Grand KSA.</w:t>
            </w:r>
          </w:p>
        </w:tc>
        <w:tc>
          <w:tcPr>
            <w:tcW w:w="1080" w:type="dxa"/>
            <w:vAlign w:val="center"/>
          </w:tcPr>
          <w:p w14:paraId="76FB12B8" w14:textId="77777777" w:rsidR="001B58C7" w:rsidRDefault="000F0E0E">
            <w:pPr>
              <w:spacing w:after="160" w:line="276" w:lineRule="auto"/>
              <w:rPr>
                <w:bCs/>
                <w:kern w:val="2"/>
                <w:lang w:val="fr-FR"/>
              </w:rPr>
            </w:pPr>
            <w:r>
              <w:rPr>
                <w:bCs/>
                <w:kern w:val="2"/>
                <w:lang w:val="fr-FR"/>
              </w:rPr>
              <w:t>Juillet 2026</w:t>
            </w:r>
          </w:p>
        </w:tc>
        <w:tc>
          <w:tcPr>
            <w:tcW w:w="1080" w:type="dxa"/>
            <w:vAlign w:val="center"/>
          </w:tcPr>
          <w:p w14:paraId="190A1D6C" w14:textId="77777777" w:rsidR="001B58C7" w:rsidRDefault="000F0E0E">
            <w:pPr>
              <w:spacing w:after="160" w:line="276" w:lineRule="auto"/>
              <w:rPr>
                <w:bCs/>
                <w:kern w:val="2"/>
                <w:lang w:val="fr-FR"/>
              </w:rPr>
            </w:pPr>
            <w:r>
              <w:rPr>
                <w:bCs/>
                <w:kern w:val="2"/>
                <w:lang w:val="fr-FR"/>
              </w:rPr>
              <w:t>Ville de Kananga</w:t>
            </w:r>
          </w:p>
        </w:tc>
        <w:tc>
          <w:tcPr>
            <w:tcW w:w="1440" w:type="dxa"/>
            <w:vAlign w:val="center"/>
          </w:tcPr>
          <w:p w14:paraId="34178663" w14:textId="77777777" w:rsidR="001B58C7" w:rsidRDefault="000F0E0E">
            <w:pPr>
              <w:spacing w:after="160" w:line="276" w:lineRule="auto"/>
              <w:rPr>
                <w:bCs/>
                <w:kern w:val="2"/>
                <w:lang w:val="fr-FR"/>
              </w:rPr>
            </w:pPr>
            <w:r>
              <w:rPr>
                <w:bCs/>
                <w:kern w:val="2"/>
                <w:lang w:val="fr-FR"/>
              </w:rPr>
              <w:t>Acteurs judiciaires/ Barreaux/PTF, PBF, PNUD, BCNUDH, TRIAL International, FONAREV, CIAVAR, PDDRCS, etc.</w:t>
            </w:r>
          </w:p>
        </w:tc>
        <w:tc>
          <w:tcPr>
            <w:tcW w:w="3510" w:type="dxa"/>
            <w:vAlign w:val="center"/>
          </w:tcPr>
          <w:p w14:paraId="058B48C1" w14:textId="77777777" w:rsidR="001B58C7" w:rsidRPr="00ED3A8A" w:rsidRDefault="000F0E0E">
            <w:pPr>
              <w:spacing w:line="200" w:lineRule="atLeast"/>
              <w:jc w:val="both"/>
              <w:rPr>
                <w:rFonts w:eastAsia="Segoe UI"/>
                <w:lang w:val="fr-FR"/>
              </w:rPr>
            </w:pPr>
            <w:r w:rsidRPr="00ED3A8A">
              <w:rPr>
                <w:rFonts w:eastAsia="Segoe UI"/>
                <w:lang w:val="fr-FR" w:eastAsia="zh-CN" w:bidi="ar"/>
              </w:rPr>
              <w:t>Analyser la pertinence et la valeur ajoutée des audiences foraines dans la lutte contre l’impunité des crimes de droit international et des violences sexuelles liées aux conflits (VSLC), en vue de renforcer leur contribution à la consolidation de la paix et à la restauration de l’État de droit dans les provinces du Grand Kasaï.</w:t>
            </w:r>
          </w:p>
          <w:p w14:paraId="4B72BDD9" w14:textId="77777777" w:rsidR="001B58C7" w:rsidRDefault="001B58C7">
            <w:pPr>
              <w:spacing w:after="160" w:line="276" w:lineRule="auto"/>
              <w:rPr>
                <w:bCs/>
                <w:kern w:val="2"/>
                <w:lang w:val="fr-FR"/>
              </w:rPr>
            </w:pPr>
          </w:p>
        </w:tc>
      </w:tr>
      <w:tr w:rsidR="001B58C7" w14:paraId="527C55CA" w14:textId="77777777">
        <w:trPr>
          <w:trHeight w:val="567"/>
        </w:trPr>
        <w:tc>
          <w:tcPr>
            <w:tcW w:w="2070" w:type="dxa"/>
            <w:vAlign w:val="center"/>
          </w:tcPr>
          <w:p w14:paraId="2D34F7A6" w14:textId="77777777" w:rsidR="001B58C7" w:rsidRDefault="000F0E0E">
            <w:pPr>
              <w:spacing w:after="160" w:line="276" w:lineRule="auto"/>
              <w:rPr>
                <w:bCs/>
                <w:kern w:val="2"/>
                <w:lang w:val="fr-FR"/>
              </w:rPr>
            </w:pPr>
            <w:r>
              <w:rPr>
                <w:bCs/>
                <w:kern w:val="2"/>
                <w:lang w:val="fr-FR"/>
              </w:rPr>
              <w:fldChar w:fldCharType="begin">
                <w:ffData>
                  <w:name w:val="Text114"/>
                  <w:enabled/>
                  <w:calcOnExit w:val="0"/>
                  <w:textInput/>
                </w:ffData>
              </w:fldChar>
            </w:r>
            <w:bookmarkStart w:id="4" w:name="Text114"/>
            <w:r>
              <w:rPr>
                <w:bCs/>
                <w:kern w:val="2"/>
                <w:lang w:val="fr-FR"/>
              </w:rPr>
              <w:instrText xml:space="preserve"> FORMTEXT </w:instrText>
            </w:r>
            <w:r>
              <w:rPr>
                <w:bCs/>
                <w:kern w:val="2"/>
                <w:lang w:val="fr-FR"/>
              </w:rPr>
            </w:r>
            <w:r>
              <w:rPr>
                <w:bCs/>
                <w:kern w:val="2"/>
                <w:lang w:val="fr-FR"/>
              </w:rPr>
              <w:fldChar w:fldCharType="separate"/>
            </w:r>
            <w:r>
              <w:rPr>
                <w:bCs/>
                <w:kern w:val="2"/>
                <w:lang w:val="fr-FR"/>
              </w:rPr>
              <w:t>     </w:t>
            </w:r>
            <w:r>
              <w:rPr>
                <w:bCs/>
                <w:kern w:val="2"/>
                <w:lang w:val="fr-FR"/>
              </w:rPr>
              <w:fldChar w:fldCharType="end"/>
            </w:r>
            <w:bookmarkEnd w:id="4"/>
          </w:p>
        </w:tc>
        <w:tc>
          <w:tcPr>
            <w:tcW w:w="1080" w:type="dxa"/>
            <w:vAlign w:val="center"/>
          </w:tcPr>
          <w:p w14:paraId="640D5F30" w14:textId="77777777" w:rsidR="001B58C7" w:rsidRDefault="000F0E0E">
            <w:pPr>
              <w:spacing w:after="160" w:line="276" w:lineRule="auto"/>
              <w:rPr>
                <w:bCs/>
                <w:kern w:val="2"/>
                <w:lang w:val="fr-FR"/>
              </w:rPr>
            </w:pPr>
            <w:r>
              <w:rPr>
                <w:bCs/>
                <w:kern w:val="2"/>
                <w:lang w:val="fr-FR"/>
              </w:rPr>
              <w:fldChar w:fldCharType="begin">
                <w:ffData>
                  <w:name w:val="Text115"/>
                  <w:enabled/>
                  <w:calcOnExit w:val="0"/>
                  <w:textInput/>
                </w:ffData>
              </w:fldChar>
            </w:r>
            <w:bookmarkStart w:id="5" w:name="Text115"/>
            <w:r>
              <w:rPr>
                <w:bCs/>
                <w:kern w:val="2"/>
                <w:lang w:val="fr-FR"/>
              </w:rPr>
              <w:instrText xml:space="preserve"> FORMTEXT </w:instrText>
            </w:r>
            <w:r>
              <w:rPr>
                <w:bCs/>
                <w:kern w:val="2"/>
                <w:lang w:val="fr-FR"/>
              </w:rPr>
            </w:r>
            <w:r>
              <w:rPr>
                <w:bCs/>
                <w:kern w:val="2"/>
                <w:lang w:val="fr-FR"/>
              </w:rPr>
              <w:fldChar w:fldCharType="separate"/>
            </w:r>
            <w:r>
              <w:rPr>
                <w:bCs/>
                <w:kern w:val="2"/>
                <w:lang w:val="fr-FR"/>
              </w:rPr>
              <w:t>     </w:t>
            </w:r>
            <w:r>
              <w:rPr>
                <w:bCs/>
                <w:kern w:val="2"/>
                <w:lang w:val="fr-FR"/>
              </w:rPr>
              <w:fldChar w:fldCharType="end"/>
            </w:r>
            <w:bookmarkEnd w:id="5"/>
          </w:p>
        </w:tc>
        <w:tc>
          <w:tcPr>
            <w:tcW w:w="1080" w:type="dxa"/>
            <w:vAlign w:val="center"/>
          </w:tcPr>
          <w:p w14:paraId="7009A401" w14:textId="77777777" w:rsidR="001B58C7" w:rsidRDefault="000F0E0E">
            <w:pPr>
              <w:spacing w:after="160" w:line="276" w:lineRule="auto"/>
              <w:rPr>
                <w:bCs/>
                <w:kern w:val="2"/>
                <w:lang w:val="fr-FR"/>
              </w:rPr>
            </w:pPr>
            <w:r>
              <w:rPr>
                <w:bCs/>
                <w:kern w:val="2"/>
                <w:lang w:val="fr-FR"/>
              </w:rPr>
              <w:fldChar w:fldCharType="begin">
                <w:ffData>
                  <w:name w:val="Text116"/>
                  <w:enabled/>
                  <w:calcOnExit w:val="0"/>
                  <w:textInput/>
                </w:ffData>
              </w:fldChar>
            </w:r>
            <w:bookmarkStart w:id="6" w:name="Text116"/>
            <w:r>
              <w:rPr>
                <w:bCs/>
                <w:kern w:val="2"/>
                <w:lang w:val="fr-FR"/>
              </w:rPr>
              <w:instrText xml:space="preserve"> FORMTEXT </w:instrText>
            </w:r>
            <w:r>
              <w:rPr>
                <w:bCs/>
                <w:kern w:val="2"/>
                <w:lang w:val="fr-FR"/>
              </w:rPr>
            </w:r>
            <w:r>
              <w:rPr>
                <w:bCs/>
                <w:kern w:val="2"/>
                <w:lang w:val="fr-FR"/>
              </w:rPr>
              <w:fldChar w:fldCharType="separate"/>
            </w:r>
            <w:r>
              <w:rPr>
                <w:bCs/>
                <w:kern w:val="2"/>
                <w:lang w:val="fr-FR"/>
              </w:rPr>
              <w:t>     </w:t>
            </w:r>
            <w:r>
              <w:rPr>
                <w:bCs/>
                <w:kern w:val="2"/>
                <w:lang w:val="fr-FR"/>
              </w:rPr>
              <w:fldChar w:fldCharType="end"/>
            </w:r>
            <w:bookmarkEnd w:id="6"/>
          </w:p>
        </w:tc>
        <w:tc>
          <w:tcPr>
            <w:tcW w:w="1440" w:type="dxa"/>
            <w:vAlign w:val="center"/>
          </w:tcPr>
          <w:p w14:paraId="3CE5A5F6" w14:textId="77777777" w:rsidR="001B58C7" w:rsidRDefault="000F0E0E">
            <w:pPr>
              <w:spacing w:after="160" w:line="276" w:lineRule="auto"/>
              <w:rPr>
                <w:bCs/>
                <w:kern w:val="2"/>
                <w:lang w:val="fr-FR"/>
              </w:rPr>
            </w:pPr>
            <w:r>
              <w:rPr>
                <w:bCs/>
                <w:kern w:val="2"/>
                <w:lang w:val="fr-FR"/>
              </w:rPr>
              <w:fldChar w:fldCharType="begin">
                <w:ffData>
                  <w:name w:val="Text117"/>
                  <w:enabled/>
                  <w:calcOnExit w:val="0"/>
                  <w:textInput/>
                </w:ffData>
              </w:fldChar>
            </w:r>
            <w:bookmarkStart w:id="7" w:name="Text117"/>
            <w:r>
              <w:rPr>
                <w:bCs/>
                <w:kern w:val="2"/>
                <w:lang w:val="fr-FR"/>
              </w:rPr>
              <w:instrText xml:space="preserve"> FORMTEXT </w:instrText>
            </w:r>
            <w:r>
              <w:rPr>
                <w:bCs/>
                <w:kern w:val="2"/>
                <w:lang w:val="fr-FR"/>
              </w:rPr>
            </w:r>
            <w:r>
              <w:rPr>
                <w:bCs/>
                <w:kern w:val="2"/>
                <w:lang w:val="fr-FR"/>
              </w:rPr>
              <w:fldChar w:fldCharType="separate"/>
            </w:r>
            <w:r>
              <w:rPr>
                <w:bCs/>
                <w:kern w:val="2"/>
                <w:lang w:val="fr-FR"/>
              </w:rPr>
              <w:t>     </w:t>
            </w:r>
            <w:r>
              <w:rPr>
                <w:bCs/>
                <w:kern w:val="2"/>
                <w:lang w:val="fr-FR"/>
              </w:rPr>
              <w:fldChar w:fldCharType="end"/>
            </w:r>
            <w:bookmarkEnd w:id="7"/>
          </w:p>
        </w:tc>
        <w:tc>
          <w:tcPr>
            <w:tcW w:w="3510" w:type="dxa"/>
            <w:vAlign w:val="center"/>
          </w:tcPr>
          <w:p w14:paraId="511CA1E9" w14:textId="77777777" w:rsidR="001B58C7" w:rsidRDefault="000F0E0E">
            <w:pPr>
              <w:spacing w:after="160" w:line="276" w:lineRule="auto"/>
              <w:rPr>
                <w:bCs/>
                <w:kern w:val="2"/>
                <w:lang w:val="fr-FR"/>
              </w:rPr>
            </w:pPr>
            <w:r>
              <w:rPr>
                <w:bCs/>
                <w:kern w:val="2"/>
                <w:lang w:val="fr-FR"/>
              </w:rPr>
              <w:fldChar w:fldCharType="begin">
                <w:ffData>
                  <w:name w:val="Text118"/>
                  <w:enabled/>
                  <w:calcOnExit w:val="0"/>
                  <w:textInput/>
                </w:ffData>
              </w:fldChar>
            </w:r>
            <w:bookmarkStart w:id="8" w:name="Text118"/>
            <w:r>
              <w:rPr>
                <w:bCs/>
                <w:kern w:val="2"/>
                <w:lang w:val="fr-FR"/>
              </w:rPr>
              <w:instrText xml:space="preserve"> FORMTEXT </w:instrText>
            </w:r>
            <w:r>
              <w:rPr>
                <w:bCs/>
                <w:kern w:val="2"/>
                <w:lang w:val="fr-FR"/>
              </w:rPr>
            </w:r>
            <w:r>
              <w:rPr>
                <w:bCs/>
                <w:kern w:val="2"/>
                <w:lang w:val="fr-FR"/>
              </w:rPr>
              <w:fldChar w:fldCharType="separate"/>
            </w:r>
            <w:r>
              <w:rPr>
                <w:bCs/>
                <w:kern w:val="2"/>
                <w:lang w:val="fr-FR"/>
              </w:rPr>
              <w:t>     </w:t>
            </w:r>
            <w:r>
              <w:rPr>
                <w:bCs/>
                <w:kern w:val="2"/>
                <w:lang w:val="fr-FR"/>
              </w:rPr>
              <w:fldChar w:fldCharType="end"/>
            </w:r>
            <w:bookmarkEnd w:id="8"/>
          </w:p>
        </w:tc>
      </w:tr>
    </w:tbl>
    <w:p w14:paraId="06F400AD" w14:textId="77777777" w:rsidR="001B58C7" w:rsidRDefault="001B58C7">
      <w:pPr>
        <w:ind w:left="270" w:hanging="450"/>
        <w:jc w:val="both"/>
        <w:rPr>
          <w:b/>
          <w:lang w:val="fr-FR"/>
        </w:rPr>
      </w:pPr>
    </w:p>
    <w:p w14:paraId="59CA9B9A" w14:textId="77777777" w:rsidR="001B58C7" w:rsidRDefault="000F0E0E">
      <w:pPr>
        <w:ind w:left="270" w:hanging="450"/>
        <w:jc w:val="both"/>
        <w:rPr>
          <w:b/>
          <w:lang w:val="fr-FR"/>
        </w:rPr>
      </w:pPr>
      <w:r>
        <w:rPr>
          <w:b/>
          <w:lang w:val="fr-FR"/>
        </w:rPr>
        <w:t>Impact Humain</w:t>
      </w:r>
    </w:p>
    <w:p w14:paraId="4CC049F9" w14:textId="77777777" w:rsidR="001B58C7" w:rsidRDefault="000F0E0E">
      <w:pPr>
        <w:ind w:left="-180"/>
        <w:rPr>
          <w:lang w:val="fr-FR"/>
        </w:rPr>
      </w:pPr>
      <w:r>
        <w:rPr>
          <w:lang w:val="fr-FR"/>
        </w:rPr>
        <w:t>Cette section s'intéresse à l'impact humain du projet. Indiquez les parties prenantes clés du projet, et pour chacune, décrivez brièvement :</w:t>
      </w:r>
    </w:p>
    <w:p w14:paraId="07E2A5EF" w14:textId="77777777" w:rsidR="001B58C7" w:rsidRDefault="000F0E0E">
      <w:pPr>
        <w:ind w:left="270" w:hanging="450"/>
        <w:rPr>
          <w:bCs/>
          <w:iCs/>
          <w:lang w:val="fr-FR"/>
        </w:rPr>
      </w:pPr>
      <w:r>
        <w:rPr>
          <w:bCs/>
          <w:iCs/>
          <w:lang w:val="fr-FR"/>
        </w:rPr>
        <w:t>i. Les défis auxquels elles faisaient face avant le début du projet</w:t>
      </w:r>
    </w:p>
    <w:p w14:paraId="1D047873" w14:textId="77777777" w:rsidR="001B58C7" w:rsidRDefault="000F0E0E">
      <w:pPr>
        <w:ind w:left="270" w:hanging="450"/>
        <w:rPr>
          <w:bCs/>
          <w:iCs/>
          <w:lang w:val="fr-FR"/>
        </w:rPr>
      </w:pPr>
      <w:r>
        <w:rPr>
          <w:bCs/>
          <w:iCs/>
          <w:lang w:val="fr-FR"/>
        </w:rPr>
        <w:t>ii. L'impact du projet sur leurs vies</w:t>
      </w:r>
    </w:p>
    <w:p w14:paraId="4F8D9736" w14:textId="77777777" w:rsidR="001B58C7" w:rsidRDefault="000F0E0E">
      <w:pPr>
        <w:ind w:left="270" w:hanging="450"/>
        <w:rPr>
          <w:bCs/>
          <w:iCs/>
          <w:lang w:val="fr-FR"/>
        </w:rPr>
      </w:pPr>
      <w:r>
        <w:rPr>
          <w:bCs/>
          <w:iCs/>
          <w:lang w:val="fr-FR"/>
        </w:rPr>
        <w:t>iii. Partagez, si possible, une citation ou un témoignage d'un représentant de chacune des parties prenantes</w:t>
      </w:r>
    </w:p>
    <w:p w14:paraId="05EEDEBE" w14:textId="77777777" w:rsidR="001B58C7" w:rsidRDefault="001B58C7">
      <w:pPr>
        <w:ind w:left="-810"/>
        <w:rPr>
          <w:b/>
          <w:i/>
          <w:lang w:val="fr-FR"/>
        </w:rPr>
      </w:pPr>
    </w:p>
    <w:tbl>
      <w:tblPr>
        <w:tblStyle w:val="Grilledutableau"/>
        <w:tblW w:w="9270" w:type="dxa"/>
        <w:tblInd w:w="-185" w:type="dxa"/>
        <w:tblLook w:val="04A0" w:firstRow="1" w:lastRow="0" w:firstColumn="1" w:lastColumn="0" w:noHBand="0" w:noVBand="1"/>
      </w:tblPr>
      <w:tblGrid>
        <w:gridCol w:w="1710"/>
        <w:gridCol w:w="3600"/>
        <w:gridCol w:w="3960"/>
      </w:tblGrid>
      <w:tr w:rsidR="001B58C7" w:rsidRPr="00ED3A8A" w14:paraId="1EF99341" w14:textId="77777777">
        <w:tc>
          <w:tcPr>
            <w:tcW w:w="1710" w:type="dxa"/>
            <w:vAlign w:val="center"/>
          </w:tcPr>
          <w:p w14:paraId="37E3D69F" w14:textId="77777777" w:rsidR="001B58C7" w:rsidRDefault="000F0E0E">
            <w:pPr>
              <w:spacing w:after="160" w:line="276" w:lineRule="auto"/>
              <w:jc w:val="center"/>
              <w:rPr>
                <w:b/>
                <w:kern w:val="2"/>
                <w:sz w:val="22"/>
                <w:szCs w:val="22"/>
                <w:lang w:val="fr-FR"/>
              </w:rPr>
            </w:pPr>
            <w:r>
              <w:rPr>
                <w:b/>
                <w:kern w:val="2"/>
                <w:sz w:val="22"/>
                <w:szCs w:val="22"/>
                <w:lang w:val="fr-FR"/>
              </w:rPr>
              <w:t>Partie Prenante</w:t>
            </w:r>
          </w:p>
        </w:tc>
        <w:tc>
          <w:tcPr>
            <w:tcW w:w="3600" w:type="dxa"/>
            <w:vAlign w:val="center"/>
          </w:tcPr>
          <w:p w14:paraId="3AAD630F" w14:textId="77777777" w:rsidR="001B58C7" w:rsidRDefault="000F0E0E">
            <w:pPr>
              <w:spacing w:after="160" w:line="276" w:lineRule="auto"/>
              <w:jc w:val="center"/>
              <w:rPr>
                <w:b/>
                <w:kern w:val="2"/>
                <w:sz w:val="22"/>
                <w:szCs w:val="22"/>
                <w:lang w:val="fr-FR"/>
              </w:rPr>
            </w:pPr>
            <w:r>
              <w:rPr>
                <w:b/>
                <w:kern w:val="2"/>
                <w:sz w:val="22"/>
                <w:szCs w:val="22"/>
                <w:lang w:val="fr-FR"/>
              </w:rPr>
              <w:t>Quel est l'impact du projet sur leurs vies (2000 caractères)</w:t>
            </w:r>
          </w:p>
        </w:tc>
        <w:tc>
          <w:tcPr>
            <w:tcW w:w="3960" w:type="dxa"/>
            <w:vAlign w:val="center"/>
          </w:tcPr>
          <w:p w14:paraId="28BE135D" w14:textId="77777777" w:rsidR="001B58C7" w:rsidRDefault="000F0E0E">
            <w:pPr>
              <w:spacing w:after="160" w:line="276" w:lineRule="auto"/>
              <w:jc w:val="center"/>
              <w:rPr>
                <w:b/>
                <w:kern w:val="2"/>
                <w:sz w:val="22"/>
                <w:szCs w:val="22"/>
                <w:lang w:val="fr-FR"/>
              </w:rPr>
            </w:pPr>
            <w:r>
              <w:rPr>
                <w:b/>
                <w:kern w:val="2"/>
                <w:sz w:val="22"/>
                <w:szCs w:val="22"/>
                <w:lang w:val="fr-FR"/>
              </w:rPr>
              <w:t>Partagez, si possible, une citation ou un témoignage d'un représentant de chacune des parties prenantes (2000 caractères)</w:t>
            </w:r>
          </w:p>
        </w:tc>
      </w:tr>
      <w:tr w:rsidR="001B58C7" w:rsidRPr="00ED3A8A" w14:paraId="71EC40AC" w14:textId="77777777">
        <w:trPr>
          <w:trHeight w:val="567"/>
        </w:trPr>
        <w:tc>
          <w:tcPr>
            <w:tcW w:w="1710" w:type="dxa"/>
          </w:tcPr>
          <w:p w14:paraId="6792EE7E" w14:textId="77777777" w:rsidR="001B58C7" w:rsidRDefault="000F0E0E">
            <w:pPr>
              <w:spacing w:after="160" w:line="276" w:lineRule="auto"/>
              <w:jc w:val="both"/>
              <w:rPr>
                <w:kern w:val="2"/>
                <w:sz w:val="22"/>
                <w:szCs w:val="22"/>
                <w:lang w:val="fr-FR"/>
              </w:rPr>
            </w:pPr>
            <w:r>
              <w:rPr>
                <w:rFonts w:eastAsia="DengXian"/>
                <w:kern w:val="2"/>
                <w:sz w:val="22"/>
                <w:szCs w:val="22"/>
                <w:lang w:val="fr" w:eastAsia="zh-CN" w:bidi="ar"/>
              </w:rPr>
              <w:lastRenderedPageBreak/>
              <w:t>Les communautés locales affectées (victimes civiles)</w:t>
            </w:r>
            <w:r>
              <w:rPr>
                <w:rFonts w:eastAsia="DengXian"/>
                <w:kern w:val="2"/>
                <w:sz w:val="22"/>
                <w:szCs w:val="22"/>
                <w:lang w:val="fr-FR" w:eastAsia="zh-CN" w:bidi="ar"/>
              </w:rPr>
              <w:t xml:space="preserve"> du village LUKUAYA, </w:t>
            </w:r>
            <w:proofErr w:type="spellStart"/>
            <w:r>
              <w:rPr>
                <w:rFonts w:eastAsia="DengXian"/>
                <w:kern w:val="2"/>
                <w:sz w:val="22"/>
                <w:szCs w:val="22"/>
                <w:lang w:val="fr-FR" w:eastAsia="zh-CN" w:bidi="ar"/>
              </w:rPr>
              <w:t>seteur</w:t>
            </w:r>
            <w:proofErr w:type="spellEnd"/>
            <w:r>
              <w:rPr>
                <w:rFonts w:eastAsia="DengXian"/>
                <w:kern w:val="2"/>
                <w:sz w:val="22"/>
                <w:szCs w:val="22"/>
                <w:lang w:val="fr-FR" w:eastAsia="zh-CN" w:bidi="ar"/>
              </w:rPr>
              <w:t xml:space="preserve"> de </w:t>
            </w:r>
            <w:proofErr w:type="spellStart"/>
            <w:r>
              <w:rPr>
                <w:rFonts w:eastAsia="DengXian"/>
                <w:kern w:val="2"/>
                <w:sz w:val="22"/>
                <w:szCs w:val="22"/>
                <w:lang w:val="fr-FR" w:eastAsia="zh-CN" w:bidi="ar"/>
              </w:rPr>
              <w:t>Ndjokopunda</w:t>
            </w:r>
            <w:proofErr w:type="spellEnd"/>
            <w:r>
              <w:rPr>
                <w:rFonts w:eastAsia="DengXian"/>
                <w:kern w:val="2"/>
                <w:sz w:val="22"/>
                <w:szCs w:val="22"/>
                <w:lang w:val="fr-FR" w:eastAsia="zh-CN" w:bidi="ar"/>
              </w:rPr>
              <w:t>, Territoire de LUEBO, Province du KASAI.</w:t>
            </w:r>
          </w:p>
          <w:p w14:paraId="0AD4355D" w14:textId="77777777" w:rsidR="001B58C7" w:rsidRDefault="001B58C7">
            <w:pPr>
              <w:spacing w:after="160" w:line="276" w:lineRule="auto"/>
              <w:jc w:val="both"/>
              <w:rPr>
                <w:bCs/>
                <w:kern w:val="2"/>
                <w:sz w:val="22"/>
                <w:szCs w:val="22"/>
                <w:lang w:val="fr-FR"/>
              </w:rPr>
            </w:pPr>
          </w:p>
        </w:tc>
        <w:tc>
          <w:tcPr>
            <w:tcW w:w="3600" w:type="dxa"/>
          </w:tcPr>
          <w:p w14:paraId="0A0FDF3F" w14:textId="77777777" w:rsidR="001B58C7" w:rsidRDefault="000F0E0E">
            <w:pPr>
              <w:spacing w:after="160" w:line="276" w:lineRule="auto"/>
              <w:jc w:val="both"/>
              <w:rPr>
                <w:b/>
                <w:bCs/>
                <w:kern w:val="2"/>
                <w:sz w:val="22"/>
                <w:szCs w:val="22"/>
                <w:lang w:val="fr"/>
              </w:rPr>
            </w:pPr>
            <w:r>
              <w:rPr>
                <w:rFonts w:eastAsia="DengXian"/>
                <w:b/>
                <w:bCs/>
                <w:kern w:val="2"/>
                <w:sz w:val="22"/>
                <w:szCs w:val="22"/>
                <w:lang w:val="fr" w:eastAsia="zh-CN" w:bidi="ar"/>
              </w:rPr>
              <w:t>i. Défis avant le projet :</w:t>
            </w:r>
            <w:r>
              <w:rPr>
                <w:rFonts w:eastAsia="DengXian"/>
                <w:kern w:val="2"/>
                <w:sz w:val="22"/>
                <w:szCs w:val="22"/>
                <w:lang w:val="fr" w:eastAsia="zh-CN" w:bidi="ar"/>
              </w:rPr>
              <w:br/>
            </w:r>
            <w:r>
              <w:rPr>
                <w:rFonts w:eastAsia="DengXian"/>
                <w:kern w:val="2"/>
                <w:sz w:val="22"/>
                <w:szCs w:val="22"/>
                <w:lang w:val="fr" w:eastAsia="zh-CN" w:bidi="ar"/>
              </w:rPr>
              <w:t>Les populations du Grand Kasaï faisaient face à une insécurité persistante, des déplacements forcés, des violations massives des droits humains et un accès limité à la justice. De nombreuses victimes vivaient dans le silence, sans mécanismes efficaces pour faire entendre leurs revendications</w:t>
            </w:r>
            <w:r>
              <w:rPr>
                <w:rFonts w:eastAsia="DengXian"/>
                <w:kern w:val="2"/>
                <w:sz w:val="22"/>
                <w:szCs w:val="22"/>
                <w:lang w:val="fr-FR" w:eastAsia="zh-CN" w:bidi="ar"/>
              </w:rPr>
              <w:t xml:space="preserve"> </w:t>
            </w:r>
            <w:r>
              <w:rPr>
                <w:rFonts w:eastAsia="DengXian"/>
                <w:b/>
                <w:bCs/>
                <w:kern w:val="2"/>
                <w:sz w:val="22"/>
                <w:szCs w:val="22"/>
                <w:lang w:val="fr-FR" w:eastAsia="zh-CN" w:bidi="ar"/>
              </w:rPr>
              <w:t>de 2016 à 2026</w:t>
            </w:r>
            <w:r>
              <w:rPr>
                <w:rFonts w:eastAsia="DengXian"/>
                <w:b/>
                <w:bCs/>
                <w:kern w:val="2"/>
                <w:sz w:val="22"/>
                <w:szCs w:val="22"/>
                <w:lang w:val="fr" w:eastAsia="zh-CN" w:bidi="ar"/>
              </w:rPr>
              <w:t>.</w:t>
            </w:r>
          </w:p>
          <w:p w14:paraId="1DF418AE" w14:textId="77777777" w:rsidR="001B58C7" w:rsidRDefault="000F0E0E">
            <w:pPr>
              <w:spacing w:after="160" w:line="276" w:lineRule="auto"/>
              <w:jc w:val="both"/>
              <w:rPr>
                <w:kern w:val="2"/>
                <w:sz w:val="22"/>
                <w:szCs w:val="22"/>
                <w:lang w:val="fr"/>
              </w:rPr>
            </w:pPr>
            <w:r>
              <w:rPr>
                <w:rFonts w:eastAsia="DengXian"/>
                <w:b/>
                <w:bCs/>
                <w:kern w:val="2"/>
                <w:sz w:val="22"/>
                <w:szCs w:val="22"/>
                <w:lang w:val="fr" w:eastAsia="zh-CN" w:bidi="ar"/>
              </w:rPr>
              <w:t>ii. Impact du projet :</w:t>
            </w:r>
            <w:r>
              <w:rPr>
                <w:rFonts w:eastAsia="DengXian"/>
                <w:kern w:val="2"/>
                <w:sz w:val="22"/>
                <w:szCs w:val="22"/>
                <w:lang w:val="fr" w:eastAsia="zh-CN" w:bidi="ar"/>
              </w:rPr>
              <w:br/>
              <w:t>Le projet a contribué à renforcer l’accès à la justice et à la reconnaissance des droits des victimes. Des initiatives de sensibilisation et d’accompagnement ont permis aux populations de mieux comprendre leurs droits et de participer aux processus judiciaires ou de consolidation de la paix.</w:t>
            </w:r>
          </w:p>
        </w:tc>
        <w:tc>
          <w:tcPr>
            <w:tcW w:w="3960" w:type="dxa"/>
          </w:tcPr>
          <w:p w14:paraId="386385CE" w14:textId="77777777" w:rsidR="001B58C7" w:rsidRDefault="000F0E0E">
            <w:pPr>
              <w:spacing w:after="160" w:line="276" w:lineRule="auto"/>
              <w:jc w:val="both"/>
              <w:rPr>
                <w:kern w:val="2"/>
                <w:sz w:val="22"/>
                <w:szCs w:val="22"/>
                <w:lang w:val="fr"/>
              </w:rPr>
            </w:pPr>
            <w:r>
              <w:rPr>
                <w:rFonts w:eastAsia="DengXian"/>
                <w:b/>
                <w:bCs/>
                <w:kern w:val="2"/>
                <w:sz w:val="22"/>
                <w:szCs w:val="22"/>
                <w:lang w:val="fr" w:eastAsia="zh-CN" w:bidi="ar"/>
              </w:rPr>
              <w:t xml:space="preserve">Témoignage </w:t>
            </w:r>
            <w:r>
              <w:rPr>
                <w:rFonts w:eastAsia="DengXian"/>
                <w:kern w:val="2"/>
                <w:sz w:val="22"/>
                <w:szCs w:val="22"/>
                <w:lang w:val="fr-FR" w:eastAsia="zh-CN" w:bidi="ar"/>
              </w:rPr>
              <w:t xml:space="preserve">de quelques victimes lors du procès public du Tribunal Militaire de Garnison de Tshikapa à LUKUAYA </w:t>
            </w:r>
            <w:r>
              <w:rPr>
                <w:rFonts w:eastAsia="DengXian"/>
                <w:kern w:val="2"/>
                <w:sz w:val="22"/>
                <w:szCs w:val="22"/>
                <w:lang w:val="fr" w:eastAsia="zh-CN" w:bidi="ar"/>
              </w:rPr>
              <w:t>:</w:t>
            </w:r>
            <w:r>
              <w:rPr>
                <w:rFonts w:eastAsia="DengXian"/>
                <w:kern w:val="2"/>
                <w:sz w:val="22"/>
                <w:szCs w:val="22"/>
                <w:lang w:val="fr" w:eastAsia="zh-CN" w:bidi="ar"/>
              </w:rPr>
              <w:br/>
              <w:t>« Aujourd’hui, nous ne sommes plus totalement oubliés. Nous avons appris que nos souffrances peuvent être reconnues et que justice est possible. »</w:t>
            </w:r>
          </w:p>
          <w:p w14:paraId="5D110B52" w14:textId="77777777" w:rsidR="001B58C7" w:rsidRDefault="001B58C7">
            <w:pPr>
              <w:spacing w:after="160" w:line="276" w:lineRule="auto"/>
              <w:jc w:val="both"/>
              <w:rPr>
                <w:bCs/>
                <w:kern w:val="2"/>
                <w:sz w:val="22"/>
                <w:szCs w:val="22"/>
                <w:lang w:val="fr-FR"/>
              </w:rPr>
            </w:pPr>
          </w:p>
        </w:tc>
      </w:tr>
      <w:tr w:rsidR="001B58C7" w:rsidRPr="00ED3A8A" w14:paraId="43CC0F46" w14:textId="77777777">
        <w:trPr>
          <w:trHeight w:val="567"/>
        </w:trPr>
        <w:tc>
          <w:tcPr>
            <w:tcW w:w="1710" w:type="dxa"/>
          </w:tcPr>
          <w:p w14:paraId="0F79F84E" w14:textId="77777777" w:rsidR="001B58C7" w:rsidRDefault="000F0E0E">
            <w:pPr>
              <w:spacing w:after="160" w:line="276" w:lineRule="auto"/>
              <w:jc w:val="both"/>
              <w:rPr>
                <w:bCs/>
                <w:kern w:val="2"/>
                <w:sz w:val="22"/>
                <w:szCs w:val="22"/>
                <w:lang w:val="fr-FR"/>
              </w:rPr>
            </w:pPr>
            <w:r>
              <w:rPr>
                <w:rFonts w:eastAsia="DengXian"/>
                <w:kern w:val="2"/>
                <w:sz w:val="22"/>
                <w:szCs w:val="22"/>
                <w:lang w:val="fr" w:eastAsia="zh-CN" w:bidi="ar"/>
              </w:rPr>
              <w:t xml:space="preserve">Les autorités judiciaires </w:t>
            </w:r>
            <w:r>
              <w:rPr>
                <w:rFonts w:eastAsia="DengXian"/>
                <w:kern w:val="2"/>
                <w:sz w:val="22"/>
                <w:szCs w:val="22"/>
                <w:lang w:val="fr-FR" w:eastAsia="zh-CN" w:bidi="ar"/>
              </w:rPr>
              <w:t xml:space="preserve">civiles &amp; militaires </w:t>
            </w:r>
            <w:r>
              <w:rPr>
                <w:rFonts w:eastAsia="DengXian"/>
                <w:kern w:val="2"/>
                <w:sz w:val="22"/>
                <w:szCs w:val="22"/>
                <w:lang w:val="fr" w:eastAsia="zh-CN" w:bidi="ar"/>
              </w:rPr>
              <w:t>et institutionnelles</w:t>
            </w:r>
            <w:r>
              <w:rPr>
                <w:rFonts w:eastAsia="DengXian"/>
                <w:kern w:val="2"/>
                <w:sz w:val="22"/>
                <w:szCs w:val="22"/>
                <w:lang w:val="fr-FR" w:eastAsia="zh-CN" w:bidi="ar"/>
              </w:rPr>
              <w:t xml:space="preserve"> du KASAI &amp; du KASAI CENTRAL.</w:t>
            </w:r>
          </w:p>
        </w:tc>
        <w:tc>
          <w:tcPr>
            <w:tcW w:w="3600" w:type="dxa"/>
          </w:tcPr>
          <w:p w14:paraId="55377884" w14:textId="77777777" w:rsidR="001B58C7" w:rsidRDefault="000F0E0E">
            <w:pPr>
              <w:spacing w:after="160" w:line="276" w:lineRule="auto"/>
              <w:jc w:val="both"/>
              <w:rPr>
                <w:kern w:val="2"/>
                <w:sz w:val="22"/>
                <w:szCs w:val="22"/>
                <w:lang w:val="fr"/>
              </w:rPr>
            </w:pPr>
            <w:r>
              <w:rPr>
                <w:rFonts w:eastAsia="DengXian"/>
                <w:b/>
                <w:bCs/>
                <w:kern w:val="2"/>
                <w:sz w:val="22"/>
                <w:szCs w:val="22"/>
                <w:lang w:val="fr" w:eastAsia="zh-CN" w:bidi="ar"/>
              </w:rPr>
              <w:t>i. Défis avant le projet :</w:t>
            </w:r>
            <w:r>
              <w:rPr>
                <w:rFonts w:eastAsia="DengXian"/>
                <w:kern w:val="2"/>
                <w:sz w:val="22"/>
                <w:szCs w:val="22"/>
                <w:lang w:val="fr" w:eastAsia="zh-CN" w:bidi="ar"/>
              </w:rPr>
              <w:br/>
              <w:t>Les institutions judiciaires faisaient face à un manque de ressources, de formation spécialisée et à des difficultés dans le traitement des crimes liés au conflit</w:t>
            </w:r>
            <w:r>
              <w:rPr>
                <w:rFonts w:eastAsia="DengXian"/>
                <w:kern w:val="2"/>
                <w:sz w:val="22"/>
                <w:szCs w:val="22"/>
                <w:lang w:val="fr-FR" w:eastAsia="zh-CN" w:bidi="ar"/>
              </w:rPr>
              <w:t xml:space="preserve"> </w:t>
            </w:r>
            <w:proofErr w:type="spellStart"/>
            <w:r>
              <w:rPr>
                <w:rFonts w:eastAsia="DengXian"/>
                <w:kern w:val="2"/>
                <w:sz w:val="22"/>
                <w:szCs w:val="22"/>
                <w:lang w:val="fr-FR" w:eastAsia="zh-CN" w:bidi="ar"/>
              </w:rPr>
              <w:t>Kamwina</w:t>
            </w:r>
            <w:proofErr w:type="spellEnd"/>
            <w:r>
              <w:rPr>
                <w:rFonts w:eastAsia="DengXian"/>
                <w:kern w:val="2"/>
                <w:sz w:val="22"/>
                <w:szCs w:val="22"/>
                <w:lang w:val="fr-FR" w:eastAsia="zh-CN" w:bidi="ar"/>
              </w:rPr>
              <w:t xml:space="preserve"> Nsapu</w:t>
            </w:r>
            <w:r>
              <w:rPr>
                <w:rFonts w:eastAsia="DengXian"/>
                <w:kern w:val="2"/>
                <w:sz w:val="22"/>
                <w:szCs w:val="22"/>
                <w:lang w:val="fr" w:eastAsia="zh-CN" w:bidi="ar"/>
              </w:rPr>
              <w:t xml:space="preserve">. La confiance </w:t>
            </w:r>
            <w:proofErr w:type="spellStart"/>
            <w:r>
              <w:rPr>
                <w:rFonts w:eastAsia="DengXian"/>
                <w:kern w:val="2"/>
                <w:sz w:val="22"/>
                <w:szCs w:val="22"/>
                <w:lang w:val="fr" w:eastAsia="zh-CN" w:bidi="ar"/>
              </w:rPr>
              <w:t>d</w:t>
            </w:r>
            <w:r>
              <w:rPr>
                <w:rFonts w:eastAsia="DengXian"/>
                <w:kern w:val="2"/>
                <w:sz w:val="22"/>
                <w:szCs w:val="22"/>
                <w:lang w:val="fr-FR" w:eastAsia="zh-CN" w:bidi="ar"/>
              </w:rPr>
              <w:t>e</w:t>
            </w:r>
            <w:proofErr w:type="spellEnd"/>
            <w:r>
              <w:rPr>
                <w:rFonts w:eastAsia="DengXian"/>
                <w:kern w:val="2"/>
                <w:sz w:val="22"/>
                <w:szCs w:val="22"/>
                <w:lang w:val="fr-FR" w:eastAsia="zh-CN" w:bidi="ar"/>
              </w:rPr>
              <w:t xml:space="preserve"> la population</w:t>
            </w:r>
            <w:r>
              <w:rPr>
                <w:rFonts w:eastAsia="DengXian"/>
                <w:kern w:val="2"/>
                <w:sz w:val="22"/>
                <w:szCs w:val="22"/>
                <w:lang w:val="fr" w:eastAsia="zh-CN" w:bidi="ar"/>
              </w:rPr>
              <w:t xml:space="preserve"> envers la justice était fortement érodée.</w:t>
            </w:r>
          </w:p>
          <w:p w14:paraId="4C1731ED" w14:textId="77777777" w:rsidR="001B58C7" w:rsidRDefault="000F0E0E">
            <w:pPr>
              <w:spacing w:after="160" w:line="276" w:lineRule="auto"/>
              <w:jc w:val="both"/>
              <w:rPr>
                <w:kern w:val="2"/>
                <w:sz w:val="22"/>
                <w:szCs w:val="22"/>
                <w:lang w:val="fr"/>
              </w:rPr>
            </w:pPr>
            <w:r>
              <w:rPr>
                <w:rFonts w:eastAsia="DengXian"/>
                <w:b/>
                <w:bCs/>
                <w:kern w:val="2"/>
                <w:sz w:val="22"/>
                <w:szCs w:val="22"/>
                <w:lang w:val="fr" w:eastAsia="zh-CN" w:bidi="ar"/>
              </w:rPr>
              <w:t>ii. Impact du projet :</w:t>
            </w:r>
            <w:r>
              <w:rPr>
                <w:rFonts w:eastAsia="DengXian"/>
                <w:kern w:val="2"/>
                <w:sz w:val="22"/>
                <w:szCs w:val="22"/>
                <w:lang w:val="fr" w:eastAsia="zh-CN" w:bidi="ar"/>
              </w:rPr>
              <w:br/>
              <w:t xml:space="preserve">Le projet a renforcé les capacités techniques et opérationnelles des acteurs judiciaires, améliorant ainsi la qualité des enquêtes et des procédures. Il a également contribué à restaurer progressivement la confiance </w:t>
            </w:r>
            <w:proofErr w:type="spellStart"/>
            <w:r>
              <w:rPr>
                <w:rFonts w:eastAsia="DengXian"/>
                <w:kern w:val="2"/>
                <w:sz w:val="22"/>
                <w:szCs w:val="22"/>
                <w:lang w:val="fr" w:eastAsia="zh-CN" w:bidi="ar"/>
              </w:rPr>
              <w:t>d</w:t>
            </w:r>
            <w:r>
              <w:rPr>
                <w:rFonts w:eastAsia="DengXian"/>
                <w:kern w:val="2"/>
                <w:sz w:val="22"/>
                <w:szCs w:val="22"/>
                <w:lang w:val="fr-FR" w:eastAsia="zh-CN" w:bidi="ar"/>
              </w:rPr>
              <w:t>e</w:t>
            </w:r>
            <w:proofErr w:type="spellEnd"/>
            <w:r>
              <w:rPr>
                <w:rFonts w:eastAsia="DengXian"/>
                <w:kern w:val="2"/>
                <w:sz w:val="22"/>
                <w:szCs w:val="22"/>
                <w:lang w:val="fr-FR" w:eastAsia="zh-CN" w:bidi="ar"/>
              </w:rPr>
              <w:t xml:space="preserve"> la population </w:t>
            </w:r>
            <w:r>
              <w:rPr>
                <w:rFonts w:eastAsia="DengXian"/>
                <w:kern w:val="2"/>
                <w:sz w:val="22"/>
                <w:szCs w:val="22"/>
                <w:lang w:val="fr" w:eastAsia="zh-CN" w:bidi="ar"/>
              </w:rPr>
              <w:t>envers les institutions</w:t>
            </w:r>
            <w:r>
              <w:rPr>
                <w:rFonts w:eastAsia="DengXian"/>
                <w:kern w:val="2"/>
                <w:sz w:val="22"/>
                <w:szCs w:val="22"/>
                <w:lang w:val="fr-FR" w:eastAsia="zh-CN" w:bidi="ar"/>
              </w:rPr>
              <w:t xml:space="preserve"> judiciaires civiles et militaires</w:t>
            </w:r>
            <w:r>
              <w:rPr>
                <w:rFonts w:eastAsia="DengXian"/>
                <w:kern w:val="2"/>
                <w:sz w:val="22"/>
                <w:szCs w:val="22"/>
                <w:lang w:val="fr" w:eastAsia="zh-CN" w:bidi="ar"/>
              </w:rPr>
              <w:t>.</w:t>
            </w:r>
          </w:p>
          <w:p w14:paraId="30E32000" w14:textId="77777777" w:rsidR="001B58C7" w:rsidRDefault="001B58C7">
            <w:pPr>
              <w:spacing w:after="160" w:line="276" w:lineRule="auto"/>
              <w:jc w:val="both"/>
              <w:rPr>
                <w:bCs/>
                <w:kern w:val="2"/>
                <w:sz w:val="22"/>
                <w:szCs w:val="22"/>
                <w:lang w:val="fr-FR"/>
              </w:rPr>
            </w:pPr>
          </w:p>
        </w:tc>
        <w:tc>
          <w:tcPr>
            <w:tcW w:w="3960" w:type="dxa"/>
          </w:tcPr>
          <w:p w14:paraId="144F5DBE" w14:textId="77777777" w:rsidR="001B58C7" w:rsidRDefault="000F0E0E">
            <w:pPr>
              <w:spacing w:after="160" w:line="276" w:lineRule="auto"/>
              <w:jc w:val="both"/>
              <w:rPr>
                <w:kern w:val="2"/>
                <w:sz w:val="22"/>
                <w:szCs w:val="22"/>
                <w:lang w:val="fr"/>
              </w:rPr>
            </w:pPr>
            <w:r>
              <w:rPr>
                <w:rFonts w:eastAsia="DengXian"/>
                <w:b/>
                <w:bCs/>
                <w:kern w:val="2"/>
                <w:sz w:val="22"/>
                <w:szCs w:val="22"/>
                <w:lang w:val="fr" w:eastAsia="zh-CN" w:bidi="ar"/>
              </w:rPr>
              <w:t>Témoignage</w:t>
            </w:r>
            <w:r>
              <w:rPr>
                <w:rFonts w:eastAsia="DengXian"/>
                <w:b/>
                <w:bCs/>
                <w:kern w:val="2"/>
                <w:sz w:val="22"/>
                <w:szCs w:val="22"/>
                <w:lang w:val="fr-FR" w:eastAsia="zh-CN" w:bidi="ar"/>
              </w:rPr>
              <w:t xml:space="preserve">s &amp; Déclarations publiques </w:t>
            </w:r>
            <w:r>
              <w:rPr>
                <w:rFonts w:eastAsia="DengXian"/>
                <w:kern w:val="2"/>
                <w:sz w:val="22"/>
                <w:szCs w:val="22"/>
                <w:lang w:val="fr-FR" w:eastAsia="zh-CN" w:bidi="ar"/>
              </w:rPr>
              <w:t xml:space="preserve">des autorités judiciaires civiles et militaires lors de la mission de suivi &amp; d’évaluation du S-PBF au Kasai Central, </w:t>
            </w:r>
            <w:r>
              <w:rPr>
                <w:rFonts w:eastAsia="DengXian"/>
                <w:kern w:val="2"/>
                <w:sz w:val="22"/>
                <w:szCs w:val="22"/>
                <w:u w:val="single"/>
                <w:lang w:val="fr-FR" w:eastAsia="zh-CN" w:bidi="ar"/>
              </w:rPr>
              <w:t xml:space="preserve">à Kananga en du 22 mai 2026, dans la salle des audiences publiques du Tribunal Militaire de Garnison de Kananga </w:t>
            </w:r>
            <w:r>
              <w:rPr>
                <w:rFonts w:eastAsia="DengXian"/>
                <w:kern w:val="2"/>
                <w:sz w:val="22"/>
                <w:szCs w:val="22"/>
                <w:u w:val="single"/>
                <w:lang w:val="fr" w:eastAsia="zh-CN" w:bidi="ar"/>
              </w:rPr>
              <w:t>:</w:t>
            </w:r>
            <w:r>
              <w:rPr>
                <w:rFonts w:eastAsia="DengXian"/>
                <w:kern w:val="2"/>
                <w:sz w:val="22"/>
                <w:szCs w:val="22"/>
                <w:lang w:val="fr" w:eastAsia="zh-CN" w:bidi="ar"/>
              </w:rPr>
              <w:br/>
            </w:r>
            <w:r>
              <w:rPr>
                <w:rFonts w:eastAsia="DengXian"/>
                <w:kern w:val="2"/>
                <w:sz w:val="22"/>
                <w:szCs w:val="22"/>
                <w:lang w:val="fr" w:eastAsia="zh-CN" w:bidi="ar"/>
              </w:rPr>
              <w:t xml:space="preserve">« Grâce à ce </w:t>
            </w:r>
            <w:proofErr w:type="spellStart"/>
            <w:r>
              <w:rPr>
                <w:rFonts w:eastAsia="DengXian"/>
                <w:kern w:val="2"/>
                <w:sz w:val="22"/>
                <w:szCs w:val="22"/>
                <w:lang w:val="fr" w:eastAsia="zh-CN" w:bidi="ar"/>
              </w:rPr>
              <w:t>pro</w:t>
            </w:r>
            <w:r>
              <w:rPr>
                <w:rFonts w:eastAsia="DengXian"/>
                <w:kern w:val="2"/>
                <w:sz w:val="22"/>
                <w:szCs w:val="22"/>
                <w:lang w:val="fr-FR" w:eastAsia="zh-CN" w:bidi="ar"/>
              </w:rPr>
              <w:t>jet</w:t>
            </w:r>
            <w:proofErr w:type="spellEnd"/>
            <w:r>
              <w:rPr>
                <w:rFonts w:eastAsia="DengXian"/>
                <w:kern w:val="2"/>
                <w:sz w:val="22"/>
                <w:szCs w:val="22"/>
                <w:lang w:val="fr" w:eastAsia="zh-CN" w:bidi="ar"/>
              </w:rPr>
              <w:t xml:space="preserve">, nous avons </w:t>
            </w:r>
            <w:r>
              <w:rPr>
                <w:rFonts w:eastAsia="DengXian"/>
                <w:kern w:val="2"/>
                <w:sz w:val="22"/>
                <w:szCs w:val="22"/>
                <w:lang w:val="fr-FR" w:eastAsia="zh-CN" w:bidi="ar"/>
              </w:rPr>
              <w:t xml:space="preserve">bénéficié des appuis techniques et matériels qui </w:t>
            </w:r>
            <w:r>
              <w:rPr>
                <w:rFonts w:eastAsia="DengXian"/>
                <w:kern w:val="2"/>
                <w:sz w:val="22"/>
                <w:szCs w:val="22"/>
                <w:lang w:val="fr" w:eastAsia="zh-CN" w:bidi="ar"/>
              </w:rPr>
              <w:t>nous permettent de mieux remplir notre mission et de rendre une justice plus crédible.</w:t>
            </w:r>
            <w:r>
              <w:rPr>
                <w:rFonts w:eastAsia="DengXian"/>
                <w:kern w:val="2"/>
                <w:sz w:val="22"/>
                <w:szCs w:val="22"/>
                <w:lang w:val="fr-FR" w:eastAsia="zh-CN" w:bidi="ar"/>
              </w:rPr>
              <w:t xml:space="preserve"> Grâce à ce projet trois (03) dossiers prioritaires &amp; emblématiques en matière de crimes de droit international (</w:t>
            </w:r>
            <w:proofErr w:type="spellStart"/>
            <w:r>
              <w:rPr>
                <w:rFonts w:eastAsia="DengXian"/>
                <w:kern w:val="2"/>
                <w:sz w:val="22"/>
                <w:szCs w:val="22"/>
                <w:lang w:val="fr-FR" w:eastAsia="zh-CN" w:bidi="ar"/>
              </w:rPr>
              <w:t>Kamwina</w:t>
            </w:r>
            <w:proofErr w:type="spellEnd"/>
            <w:r>
              <w:rPr>
                <w:rFonts w:eastAsia="DengXian"/>
                <w:kern w:val="2"/>
                <w:sz w:val="22"/>
                <w:szCs w:val="22"/>
                <w:lang w:val="fr-FR" w:eastAsia="zh-CN" w:bidi="ar"/>
              </w:rPr>
              <w:t xml:space="preserve"> </w:t>
            </w:r>
            <w:proofErr w:type="spellStart"/>
            <w:r>
              <w:rPr>
                <w:rFonts w:eastAsia="DengXian"/>
                <w:kern w:val="2"/>
                <w:sz w:val="22"/>
                <w:szCs w:val="22"/>
                <w:lang w:val="fr-FR" w:eastAsia="zh-CN" w:bidi="ar"/>
              </w:rPr>
              <w:t>Nsapu</w:t>
            </w:r>
            <w:proofErr w:type="spellEnd"/>
            <w:r>
              <w:rPr>
                <w:rFonts w:eastAsia="DengXian"/>
                <w:kern w:val="2"/>
                <w:sz w:val="22"/>
                <w:szCs w:val="22"/>
                <w:lang w:val="fr-FR" w:eastAsia="zh-CN" w:bidi="ar"/>
              </w:rPr>
              <w:t>) ont été instruits et des prévenus jugés, des victimes entendues, et en ce moment le quatrième dossier emblématique est en cours ‘instruction par le TMG de Tshikapa à LUKUAYA, etc.</w:t>
            </w:r>
            <w:r>
              <w:rPr>
                <w:rFonts w:eastAsia="DengXian"/>
                <w:kern w:val="2"/>
                <w:sz w:val="22"/>
                <w:szCs w:val="22"/>
                <w:lang w:val="fr" w:eastAsia="zh-CN" w:bidi="ar"/>
              </w:rPr>
              <w:t xml:space="preserve"> »</w:t>
            </w:r>
          </w:p>
        </w:tc>
      </w:tr>
      <w:tr w:rsidR="001B58C7" w14:paraId="61BFA321" w14:textId="77777777">
        <w:trPr>
          <w:trHeight w:val="567"/>
        </w:trPr>
        <w:tc>
          <w:tcPr>
            <w:tcW w:w="1710" w:type="dxa"/>
          </w:tcPr>
          <w:p w14:paraId="0672D4B0" w14:textId="77777777" w:rsidR="001B58C7" w:rsidRDefault="000F0E0E">
            <w:pPr>
              <w:spacing w:after="160" w:line="276" w:lineRule="auto"/>
              <w:rPr>
                <w:bCs/>
                <w:kern w:val="2"/>
                <w:sz w:val="22"/>
                <w:szCs w:val="22"/>
                <w:lang w:val="fr-FR"/>
              </w:rPr>
            </w:pPr>
            <w:r>
              <w:rPr>
                <w:bCs/>
                <w:kern w:val="2"/>
                <w:sz w:val="22"/>
                <w:szCs w:val="22"/>
                <w:lang w:val="fr-FR"/>
              </w:rPr>
              <w:fldChar w:fldCharType="begin">
                <w:ffData>
                  <w:name w:val="Text127"/>
                  <w:enabled/>
                  <w:calcOnExit w:val="0"/>
                  <w:textInput/>
                </w:ffData>
              </w:fldChar>
            </w:r>
            <w:bookmarkStart w:id="9" w:name="Text127"/>
            <w:r>
              <w:rPr>
                <w:bCs/>
                <w:kern w:val="2"/>
                <w:sz w:val="22"/>
                <w:szCs w:val="22"/>
                <w:lang w:val="fr-FR"/>
              </w:rPr>
              <w:instrText xml:space="preserve"> FORMTEXT </w:instrText>
            </w:r>
            <w:r>
              <w:rPr>
                <w:bCs/>
                <w:kern w:val="2"/>
                <w:sz w:val="22"/>
                <w:szCs w:val="22"/>
                <w:lang w:val="fr-FR"/>
              </w:rPr>
            </w:r>
            <w:r>
              <w:rPr>
                <w:bCs/>
                <w:kern w:val="2"/>
                <w:sz w:val="22"/>
                <w:szCs w:val="22"/>
                <w:lang w:val="fr-FR"/>
              </w:rPr>
              <w:fldChar w:fldCharType="separate"/>
            </w:r>
            <w:r>
              <w:rPr>
                <w:bCs/>
                <w:kern w:val="2"/>
                <w:sz w:val="22"/>
                <w:szCs w:val="22"/>
                <w:lang w:val="fr-FR"/>
              </w:rPr>
              <w:t>     </w:t>
            </w:r>
            <w:r>
              <w:rPr>
                <w:bCs/>
                <w:kern w:val="2"/>
                <w:sz w:val="22"/>
                <w:szCs w:val="22"/>
                <w:lang w:val="fr-FR"/>
              </w:rPr>
              <w:fldChar w:fldCharType="end"/>
            </w:r>
            <w:bookmarkEnd w:id="9"/>
          </w:p>
        </w:tc>
        <w:tc>
          <w:tcPr>
            <w:tcW w:w="3600" w:type="dxa"/>
          </w:tcPr>
          <w:p w14:paraId="7E5618C2" w14:textId="77777777" w:rsidR="001B58C7" w:rsidRDefault="000F0E0E">
            <w:pPr>
              <w:spacing w:after="160" w:line="276" w:lineRule="auto"/>
              <w:rPr>
                <w:bCs/>
                <w:kern w:val="2"/>
                <w:sz w:val="22"/>
                <w:szCs w:val="22"/>
                <w:lang w:val="fr-FR"/>
              </w:rPr>
            </w:pPr>
            <w:r>
              <w:rPr>
                <w:bCs/>
                <w:kern w:val="2"/>
                <w:sz w:val="22"/>
                <w:szCs w:val="22"/>
                <w:lang w:val="fr-FR"/>
              </w:rPr>
              <w:fldChar w:fldCharType="begin">
                <w:ffData>
                  <w:name w:val="Text129"/>
                  <w:enabled/>
                  <w:calcOnExit w:val="0"/>
                  <w:textInput/>
                </w:ffData>
              </w:fldChar>
            </w:r>
            <w:bookmarkStart w:id="10" w:name="Text129"/>
            <w:r>
              <w:rPr>
                <w:bCs/>
                <w:kern w:val="2"/>
                <w:sz w:val="22"/>
                <w:szCs w:val="22"/>
                <w:lang w:val="fr-FR"/>
              </w:rPr>
              <w:instrText xml:space="preserve"> FORMTEXT </w:instrText>
            </w:r>
            <w:r>
              <w:rPr>
                <w:bCs/>
                <w:kern w:val="2"/>
                <w:sz w:val="22"/>
                <w:szCs w:val="22"/>
                <w:lang w:val="fr-FR"/>
              </w:rPr>
            </w:r>
            <w:r>
              <w:rPr>
                <w:bCs/>
                <w:kern w:val="2"/>
                <w:sz w:val="22"/>
                <w:szCs w:val="22"/>
                <w:lang w:val="fr-FR"/>
              </w:rPr>
              <w:fldChar w:fldCharType="separate"/>
            </w:r>
            <w:r>
              <w:rPr>
                <w:bCs/>
                <w:kern w:val="2"/>
                <w:sz w:val="22"/>
                <w:szCs w:val="22"/>
                <w:lang w:val="fr-FR"/>
              </w:rPr>
              <w:t>     </w:t>
            </w:r>
            <w:r>
              <w:rPr>
                <w:bCs/>
                <w:kern w:val="2"/>
                <w:sz w:val="22"/>
                <w:szCs w:val="22"/>
                <w:lang w:val="fr-FR"/>
              </w:rPr>
              <w:fldChar w:fldCharType="end"/>
            </w:r>
            <w:bookmarkEnd w:id="10"/>
          </w:p>
        </w:tc>
        <w:tc>
          <w:tcPr>
            <w:tcW w:w="3960" w:type="dxa"/>
          </w:tcPr>
          <w:p w14:paraId="4800CCDA" w14:textId="77777777" w:rsidR="001B58C7" w:rsidRDefault="000F0E0E">
            <w:pPr>
              <w:spacing w:after="160" w:line="276" w:lineRule="auto"/>
              <w:rPr>
                <w:bCs/>
                <w:kern w:val="2"/>
                <w:sz w:val="22"/>
                <w:szCs w:val="22"/>
                <w:lang w:val="fr-FR"/>
              </w:rPr>
            </w:pPr>
            <w:r>
              <w:rPr>
                <w:bCs/>
                <w:kern w:val="2"/>
                <w:sz w:val="22"/>
                <w:szCs w:val="22"/>
                <w:lang w:val="fr-FR"/>
              </w:rPr>
              <w:fldChar w:fldCharType="begin">
                <w:ffData>
                  <w:name w:val="Text130"/>
                  <w:enabled/>
                  <w:calcOnExit w:val="0"/>
                  <w:textInput/>
                </w:ffData>
              </w:fldChar>
            </w:r>
            <w:bookmarkStart w:id="11" w:name="Text130"/>
            <w:r>
              <w:rPr>
                <w:bCs/>
                <w:kern w:val="2"/>
                <w:sz w:val="22"/>
                <w:szCs w:val="22"/>
                <w:lang w:val="fr-FR"/>
              </w:rPr>
              <w:instrText xml:space="preserve"> FORMTEXT </w:instrText>
            </w:r>
            <w:r>
              <w:rPr>
                <w:bCs/>
                <w:kern w:val="2"/>
                <w:sz w:val="22"/>
                <w:szCs w:val="22"/>
                <w:lang w:val="fr-FR"/>
              </w:rPr>
            </w:r>
            <w:r>
              <w:rPr>
                <w:bCs/>
                <w:kern w:val="2"/>
                <w:sz w:val="22"/>
                <w:szCs w:val="22"/>
                <w:lang w:val="fr-FR"/>
              </w:rPr>
              <w:fldChar w:fldCharType="separate"/>
            </w:r>
            <w:r>
              <w:rPr>
                <w:bCs/>
                <w:kern w:val="2"/>
                <w:sz w:val="22"/>
                <w:szCs w:val="22"/>
                <w:lang w:val="fr-FR"/>
              </w:rPr>
              <w:t>     </w:t>
            </w:r>
            <w:r>
              <w:rPr>
                <w:bCs/>
                <w:kern w:val="2"/>
                <w:sz w:val="22"/>
                <w:szCs w:val="22"/>
                <w:lang w:val="fr-FR"/>
              </w:rPr>
              <w:fldChar w:fldCharType="end"/>
            </w:r>
            <w:bookmarkEnd w:id="11"/>
          </w:p>
        </w:tc>
      </w:tr>
    </w:tbl>
    <w:p w14:paraId="0FE22453" w14:textId="77777777" w:rsidR="001B58C7" w:rsidRDefault="001B58C7">
      <w:pPr>
        <w:rPr>
          <w:b/>
          <w:i/>
          <w:lang w:val="fr-FR"/>
        </w:rPr>
      </w:pPr>
    </w:p>
    <w:p w14:paraId="719836E0" w14:textId="77777777" w:rsidR="001B58C7" w:rsidRDefault="000F0E0E">
      <w:pPr>
        <w:spacing w:after="160" w:line="276" w:lineRule="auto"/>
        <w:rPr>
          <w:lang w:val="fr-FR"/>
        </w:rPr>
      </w:pPr>
      <w:r>
        <w:rPr>
          <w:lang w:val="fr-FR"/>
        </w:rPr>
        <w:t xml:space="preserve">En plus de l'impact spécifique aux parties prenantes décrit dans les questions précédentes, vous pouvez utiliser cet espace pour décrire tout autre impact humain du projet </w:t>
      </w:r>
      <w:r>
        <w:rPr>
          <w:i/>
          <w:iCs/>
          <w:lang w:val="fr-FR"/>
        </w:rPr>
        <w:t>(4000 caractères)</w:t>
      </w:r>
      <w:r>
        <w:rPr>
          <w:lang w:val="fr-FR"/>
        </w:rPr>
        <w:t xml:space="preserve"> : </w:t>
      </w:r>
    </w:p>
    <w:p w14:paraId="777E2E73" w14:textId="77777777" w:rsidR="001B58C7" w:rsidRDefault="000F0E0E">
      <w:pPr>
        <w:pStyle w:val="NormalWeb"/>
        <w:spacing w:line="300" w:lineRule="atLeast"/>
        <w:jc w:val="both"/>
        <w:rPr>
          <w:lang w:val="fr-FR"/>
        </w:rPr>
      </w:pPr>
      <w:r>
        <w:rPr>
          <w:rFonts w:eastAsia="Segoe UI"/>
          <w:lang w:val="fr-FR"/>
        </w:rPr>
        <w:lastRenderedPageBreak/>
        <w:t>Au-delà des effets spécifiques observés sur les différentes parties prenantes, le projet a généré des impacts humains transversaux profonds et durables dans la région concernée. En premier lieu, il a contribué à une reconstruction progressive du tissu social, fortement fragilisé par les violences et les traumatismes liés au conflit. En facilitant le dialogue communautaire et en encourageant des initiatives locales de réconciliation, le projet a permis de restaurer, même partiellement, la confiance entre les</w:t>
      </w:r>
      <w:r>
        <w:rPr>
          <w:rFonts w:eastAsia="Segoe UI"/>
          <w:lang w:val="fr-FR"/>
        </w:rPr>
        <w:t xml:space="preserve"> membres des communautés, autrefois divisées par la peur, la stigmatisation et les représailles.</w:t>
      </w:r>
    </w:p>
    <w:p w14:paraId="3EC8F461" w14:textId="77777777" w:rsidR="001B58C7" w:rsidRDefault="000F0E0E">
      <w:pPr>
        <w:pStyle w:val="NormalWeb"/>
        <w:spacing w:line="300" w:lineRule="atLeast"/>
        <w:jc w:val="both"/>
        <w:rPr>
          <w:lang w:val="fr-FR"/>
        </w:rPr>
      </w:pPr>
      <w:r>
        <w:rPr>
          <w:rFonts w:eastAsia="Segoe UI"/>
          <w:lang w:val="fr-FR"/>
        </w:rPr>
        <w:t>Par ailleurs, le projet a eu un effet significatif sur la prise de conscience collective des droits fondamentaux. À travers les actions de sensibilisation et les mécanismes d’accompagnement mis en place, les populations ont développé une meilleure compréhension des notions de justice, de responsabilité et de réparation. Cette évolution a favorisé une culture émergente de revendication pacifique des droits, rompant avec une logique d’acceptation passive des abus ou d’auto</w:t>
      </w:r>
      <w:r>
        <w:rPr>
          <w:rFonts w:eastAsia="Segoe UI"/>
          <w:lang w:val="fr-FR"/>
        </w:rPr>
        <w:noBreakHyphen/>
        <w:t>justice.</w:t>
      </w:r>
    </w:p>
    <w:p w14:paraId="3E53F7CB" w14:textId="77777777" w:rsidR="001B58C7" w:rsidRDefault="000F0E0E">
      <w:pPr>
        <w:pStyle w:val="NormalWeb"/>
        <w:spacing w:line="300" w:lineRule="atLeast"/>
        <w:jc w:val="both"/>
        <w:rPr>
          <w:lang w:val="fr-FR"/>
        </w:rPr>
      </w:pPr>
      <w:r>
        <w:rPr>
          <w:rFonts w:eastAsia="Segoe UI"/>
          <w:lang w:val="fr-FR"/>
        </w:rPr>
        <w:t>Un autre impact majeur réside dans la restauration de la dignité humaine des victimes. Le simple fait d’être écoutées, reconnues et accompagnées dans leurs démarches a permis à de nombreuses personnes de sortir de l’isolement et du sentiment d’abandon. Ce processus de reconnaissance symbolique, bien que parfois distinct des résultats judiciaires, a constitué une étape essentielle dans la reconstruction psychologique des individus affectés. Il a également renforcé leur capacité à se projeter dans l’avenir av</w:t>
      </w:r>
      <w:r>
        <w:rPr>
          <w:rFonts w:eastAsia="Segoe UI"/>
          <w:lang w:val="fr-FR"/>
        </w:rPr>
        <w:t>ec plus d’espoir et de résilience.</w:t>
      </w:r>
    </w:p>
    <w:p w14:paraId="3655F652" w14:textId="77777777" w:rsidR="001B58C7" w:rsidRDefault="000F0E0E">
      <w:pPr>
        <w:pStyle w:val="NormalWeb"/>
        <w:spacing w:line="300" w:lineRule="atLeast"/>
        <w:jc w:val="both"/>
        <w:rPr>
          <w:lang w:val="fr-FR"/>
        </w:rPr>
      </w:pPr>
      <w:r>
        <w:rPr>
          <w:rFonts w:eastAsia="Segoe UI"/>
          <w:lang w:val="fr-FR"/>
        </w:rPr>
        <w:t>Le projet a également contribué à transformer les rapports entre citoyens et institutions. En rapprochant les structures judiciaires et administratives des populations, il a favorisé une interaction plus directe et plus transparente. Cette dynamique a contribué à réduire la méfiance généralisée envers les institutions publiques et à encourager une participation citoyenne accrue dans les processus de gouvernance locale.</w:t>
      </w:r>
    </w:p>
    <w:p w14:paraId="1AD77DE2" w14:textId="77777777" w:rsidR="001B58C7" w:rsidRDefault="000F0E0E">
      <w:pPr>
        <w:pStyle w:val="NormalWeb"/>
        <w:spacing w:line="300" w:lineRule="atLeast"/>
        <w:jc w:val="both"/>
        <w:rPr>
          <w:lang w:val="fr-FR"/>
        </w:rPr>
      </w:pPr>
      <w:r>
        <w:rPr>
          <w:rFonts w:eastAsia="Segoe UI"/>
          <w:lang w:val="fr-FR"/>
        </w:rPr>
        <w:t>En outre, l’impact humain du projet s’est manifesté dans la réduction progressive des tensions sociales et du risque de reprise des violences. En offrant des espaces d’expression, de médiation et de règlement pacifique des différends, il a permis de désamorcer plusieurs conflits latents. Cette consolidation de la paix, bien qu’encore fragile, constitue un acquis important pour la stabilité de la région.</w:t>
      </w:r>
    </w:p>
    <w:p w14:paraId="580515A0" w14:textId="77777777" w:rsidR="001B58C7" w:rsidRDefault="000F0E0E">
      <w:pPr>
        <w:pStyle w:val="NormalWeb"/>
        <w:spacing w:line="300" w:lineRule="atLeast"/>
        <w:jc w:val="both"/>
        <w:rPr>
          <w:lang w:val="fr-FR"/>
        </w:rPr>
      </w:pPr>
      <w:r>
        <w:rPr>
          <w:rFonts w:eastAsia="Segoe UI"/>
          <w:lang w:val="fr-FR"/>
        </w:rPr>
        <w:t>Enfin, le projet a produit un effet structurant à long terme en favorisant l’émergence d’acteurs locaux engagés dans la promotion des droits humains et de la paix. Ces acteurs, désormais mieux formés et organisés, sont susceptibles de pérenniser les acquis du projet et de continuer à influencer positivement les dynamiques sociales.</w:t>
      </w:r>
    </w:p>
    <w:p w14:paraId="561B82C0" w14:textId="77777777" w:rsidR="001B58C7" w:rsidRDefault="000F0E0E">
      <w:pPr>
        <w:pStyle w:val="NormalWeb"/>
        <w:spacing w:line="300" w:lineRule="atLeast"/>
        <w:jc w:val="both"/>
        <w:rPr>
          <w:b/>
          <w:highlight w:val="yellow"/>
          <w:lang w:val="fr-FR"/>
        </w:rPr>
      </w:pPr>
      <w:r>
        <w:rPr>
          <w:rFonts w:eastAsia="Segoe UI"/>
          <w:lang w:val="fr-FR"/>
        </w:rPr>
        <w:t>Dans l’ensemble, ces différents éléments montrent que l’impact humain du projet dépasse largement les résultats immédiats et tangibles. Il s’inscrit dans une dynamique de transformation progressive des mentalités, des comportements et des relations sociales, contribuant ainsi à jeter les bases d’une paix durable et inclusive dans la région.</w:t>
      </w:r>
    </w:p>
    <w:p w14:paraId="7873E19A" w14:textId="77777777" w:rsidR="001B58C7" w:rsidRDefault="000F0E0E">
      <w:pPr>
        <w:ind w:left="-90"/>
        <w:rPr>
          <w:i/>
          <w:iCs/>
          <w:lang w:val="fr-FR"/>
        </w:rPr>
      </w:pPr>
      <w:r>
        <w:rPr>
          <w:i/>
          <w:iCs/>
          <w:lang w:val="fr-FR"/>
        </w:rPr>
        <w:t xml:space="preserve">Vous pouvez également joindre un maximum de 3 </w:t>
      </w:r>
      <w:proofErr w:type="spellStart"/>
      <w:r>
        <w:rPr>
          <w:i/>
          <w:iCs/>
          <w:lang w:val="fr-FR"/>
        </w:rPr>
        <w:t>ﬁchiers</w:t>
      </w:r>
      <w:proofErr w:type="spellEnd"/>
      <w:r>
        <w:rPr>
          <w:i/>
          <w:iCs/>
          <w:lang w:val="fr-FR"/>
        </w:rPr>
        <w:t xml:space="preserve"> dans </w:t>
      </w:r>
      <w:proofErr w:type="spellStart"/>
      <w:r>
        <w:rPr>
          <w:i/>
          <w:iCs/>
          <w:lang w:val="fr-FR"/>
        </w:rPr>
        <w:t>diﬀérents</w:t>
      </w:r>
      <w:proofErr w:type="spellEnd"/>
      <w:r>
        <w:rPr>
          <w:i/>
          <w:iCs/>
          <w:lang w:val="fr-FR"/>
        </w:rPr>
        <w:t xml:space="preserve"> formats (</w:t>
      </w:r>
      <w:proofErr w:type="spellStart"/>
      <w:r>
        <w:rPr>
          <w:i/>
          <w:iCs/>
          <w:lang w:val="fr-FR"/>
        </w:rPr>
        <w:t>ﬁchiers</w:t>
      </w:r>
      <w:proofErr w:type="spellEnd"/>
      <w:r>
        <w:rPr>
          <w:i/>
          <w:iCs/>
          <w:lang w:val="fr-FR"/>
        </w:rPr>
        <w:t xml:space="preserve"> image, PowerPoint, </w:t>
      </w:r>
      <w:proofErr w:type="spellStart"/>
      <w:r>
        <w:rPr>
          <w:i/>
          <w:iCs/>
          <w:lang w:val="fr-FR"/>
        </w:rPr>
        <w:t>pdf</w:t>
      </w:r>
      <w:proofErr w:type="spellEnd"/>
      <w:r>
        <w:rPr>
          <w:i/>
          <w:iCs/>
          <w:lang w:val="fr-FR"/>
        </w:rPr>
        <w:t>, vidéo, etc.) et 3 liens à des ressources web pour illustrer l'impact humain du projet [OPTIONELLE]</w:t>
      </w:r>
    </w:p>
    <w:p w14:paraId="10A2D9B1" w14:textId="77777777" w:rsidR="001B58C7" w:rsidRDefault="001B58C7">
      <w:pPr>
        <w:ind w:left="-810"/>
        <w:rPr>
          <w:lang w:val="fr-FR"/>
        </w:rPr>
      </w:pPr>
    </w:p>
    <w:p w14:paraId="528621CF" w14:textId="77777777" w:rsidR="001B58C7" w:rsidRDefault="000F0E0E">
      <w:pPr>
        <w:ind w:left="-810"/>
        <w:rPr>
          <w:b/>
          <w:bCs/>
          <w:lang w:val="fr-FR"/>
        </w:rPr>
      </w:pPr>
      <w:r>
        <w:rPr>
          <w:b/>
          <w:bCs/>
          <w:lang w:val="fr-FR"/>
        </w:rPr>
        <w:t>Veuillez cocher le changement applicable en fonction du récit ci-dessus.</w:t>
      </w:r>
    </w:p>
    <w:p w14:paraId="7ECBD91D" w14:textId="77777777" w:rsidR="001B58C7" w:rsidRDefault="001B58C7">
      <w:pPr>
        <w:ind w:left="-810"/>
        <w:rPr>
          <w:b/>
          <w:bCs/>
          <w:lang w:val="fr-FR"/>
        </w:rPr>
      </w:pPr>
    </w:p>
    <w:p w14:paraId="6D552259" w14:textId="77777777" w:rsidR="001B58C7" w:rsidRDefault="000F0E0E">
      <w:pPr>
        <w:ind w:left="-810"/>
        <w:rPr>
          <w:lang w:val="fr-FR"/>
        </w:rPr>
      </w:pPr>
      <w:r>
        <w:rPr>
          <w:b/>
          <w:bCs/>
          <w:u w:val="single"/>
          <w:lang w:val="fr-FR"/>
        </w:rPr>
        <w:t>Comment nous avons travaillé</w:t>
      </w:r>
      <w:r>
        <w:rPr>
          <w:lang w:val="fr-FR"/>
        </w:rPr>
        <w:t xml:space="preserve"> (veuillez sélectionner jusqu'à 3) (3000 caractères dans chaque option sélectionnée) :</w:t>
      </w:r>
    </w:p>
    <w:p w14:paraId="76139110" w14:textId="77777777" w:rsidR="001B58C7" w:rsidRDefault="001B58C7">
      <w:pPr>
        <w:ind w:left="-810"/>
        <w:rPr>
          <w:lang w:val="fr-FR"/>
        </w:rPr>
      </w:pPr>
    </w:p>
    <w:p w14:paraId="67B0FFD5" w14:textId="77777777" w:rsidR="001B58C7" w:rsidRDefault="000F0E0E">
      <w:pPr>
        <w:spacing w:line="259" w:lineRule="auto"/>
        <w:jc w:val="both"/>
        <w:rPr>
          <w:sz w:val="22"/>
          <w:szCs w:val="22"/>
          <w:lang w:val="fr-FR"/>
        </w:rPr>
      </w:pPr>
      <w:sdt>
        <w:sdtPr>
          <w:rPr>
            <w:rFonts w:eastAsia="MS Gothic"/>
            <w:sz w:val="22"/>
            <w:szCs w:val="22"/>
            <w:lang w:val="fr-FR"/>
          </w:rPr>
          <w:id w:val="11280862"/>
          <w14:checkbox>
            <w14:checked w14:val="0"/>
            <w14:checkedState w14:val="2612" w14:font="MS Gothic"/>
            <w14:uncheckedState w14:val="2610" w14:font="MS Gothic"/>
          </w14:checkbox>
        </w:sdtPr>
        <w:sdtEndPr/>
        <w:sdtContent>
          <w:r>
            <w:rPr>
              <w:rFonts w:ascii="Segoe UI Symbol" w:eastAsia="MS Gothic" w:hAnsi="Segoe UI Symbol" w:cs="Segoe UI Symbol"/>
              <w:sz w:val="22"/>
              <w:szCs w:val="22"/>
              <w:lang w:val="fr-FR"/>
            </w:rPr>
            <w:t>☐</w:t>
          </w:r>
        </w:sdtContent>
      </w:sdt>
      <w:r>
        <w:rPr>
          <w:b/>
          <w:bCs/>
          <w:sz w:val="22"/>
          <w:szCs w:val="22"/>
          <w:lang w:val="fr-FR"/>
        </w:rPr>
        <w:t xml:space="preserve"> </w:t>
      </w:r>
      <w:r>
        <w:rPr>
          <w:sz w:val="22"/>
          <w:szCs w:val="22"/>
          <w:lang w:val="fr-FR"/>
        </w:rPr>
        <w:t>Numérisation améliorée [expliquez, s'il vous plaît]</w:t>
      </w:r>
    </w:p>
    <w:p w14:paraId="0C537350" w14:textId="77777777" w:rsidR="001B58C7" w:rsidRDefault="001B58C7">
      <w:pPr>
        <w:spacing w:line="259" w:lineRule="auto"/>
        <w:jc w:val="both"/>
        <w:rPr>
          <w:sz w:val="22"/>
          <w:szCs w:val="22"/>
          <w:lang w:val="fr-FR"/>
        </w:rPr>
      </w:pPr>
    </w:p>
    <w:p w14:paraId="787B6ADF" w14:textId="77777777" w:rsidR="001B58C7" w:rsidRDefault="000F0E0E">
      <w:pPr>
        <w:rPr>
          <w:sz w:val="22"/>
          <w:szCs w:val="22"/>
          <w:lang w:val="fr-FR"/>
        </w:rPr>
      </w:pPr>
      <w:sdt>
        <w:sdtPr>
          <w:rPr>
            <w:rFonts w:eastAsia="MS Gothic"/>
            <w:sz w:val="22"/>
            <w:szCs w:val="22"/>
            <w:lang w:val="fr-FR"/>
          </w:rPr>
          <w:id w:val="-1034800959"/>
          <w14:checkbox>
            <w14:checked w14:val="1"/>
            <w14:checkedState w14:val="2612" w14:font="MS Gothic"/>
            <w14:uncheckedState w14:val="2610" w14:font="MS Gothic"/>
          </w14:checkbox>
        </w:sdtPr>
        <w:sdtEndPr>
          <w:rPr>
            <w:b/>
            <w:bCs/>
          </w:rPr>
        </w:sdtEndPr>
        <w:sdtContent>
          <w:r>
            <w:rPr>
              <w:rFonts w:ascii="MS Gothic" w:eastAsia="MS Gothic" w:hAnsi="MS Gothic" w:cs="Segoe UI Symbol"/>
              <w:b/>
              <w:bCs/>
              <w:sz w:val="22"/>
              <w:szCs w:val="22"/>
              <w:lang w:val="fr-FR"/>
            </w:rPr>
            <w:t>☒</w:t>
          </w:r>
        </w:sdtContent>
      </w:sdt>
      <w:r>
        <w:rPr>
          <w:b/>
          <w:bCs/>
          <w:sz w:val="22"/>
          <w:szCs w:val="22"/>
          <w:lang w:val="fr-FR"/>
        </w:rPr>
        <w:t xml:space="preserve"> Des méthodes de travail innovantes</w:t>
      </w:r>
      <w:r>
        <w:rPr>
          <w:rStyle w:val="Appelnotedebasdep"/>
          <w:b/>
          <w:bCs/>
          <w:sz w:val="22"/>
          <w:szCs w:val="22"/>
          <w:vertAlign w:val="baseline"/>
          <w:lang w:val="fr-FR"/>
        </w:rPr>
        <w:t xml:space="preserve"> </w:t>
      </w:r>
      <w:r>
        <w:rPr>
          <w:rStyle w:val="Appelnotedebasdep"/>
          <w:b/>
          <w:bCs/>
          <w:sz w:val="22"/>
          <w:szCs w:val="22"/>
          <w:lang w:val="fr-FR"/>
        </w:rPr>
        <w:footnoteReference w:id="5"/>
      </w:r>
      <w:r>
        <w:rPr>
          <w:b/>
          <w:bCs/>
          <w:sz w:val="22"/>
          <w:szCs w:val="22"/>
          <w:lang w:val="fr-FR"/>
        </w:rPr>
        <w:t xml:space="preserve"> [expliquez, s'il vous plaît]</w:t>
      </w:r>
    </w:p>
    <w:p w14:paraId="31BFF0A9" w14:textId="77777777" w:rsidR="001B58C7" w:rsidRDefault="001B58C7">
      <w:pPr>
        <w:rPr>
          <w:sz w:val="22"/>
          <w:szCs w:val="22"/>
          <w:lang w:val="fr-FR"/>
        </w:rPr>
      </w:pPr>
    </w:p>
    <w:p w14:paraId="2B8062C8" w14:textId="77777777" w:rsidR="001B58C7" w:rsidRDefault="000F0E0E">
      <w:pPr>
        <w:spacing w:after="160"/>
        <w:jc w:val="both"/>
        <w:rPr>
          <w:lang w:val="fr"/>
        </w:rPr>
      </w:pPr>
      <w:r>
        <w:rPr>
          <w:rFonts w:eastAsia="DengXian"/>
          <w:kern w:val="2"/>
          <w:lang w:val="fr" w:eastAsia="zh-CN" w:bidi="ar"/>
        </w:rPr>
        <w:t>Le projet PROJUST a mis en œuvre des approches innovantes combinant justice, protection et cohésion sociale pour répondre aux défis de l’impunité dans le Grand Kasaï.</w:t>
      </w:r>
    </w:p>
    <w:p w14:paraId="775A4EE5" w14:textId="77777777" w:rsidR="001B58C7" w:rsidRDefault="000F0E0E">
      <w:pPr>
        <w:spacing w:after="160"/>
        <w:jc w:val="both"/>
        <w:rPr>
          <w:lang w:val="fr"/>
        </w:rPr>
      </w:pPr>
      <w:r>
        <w:rPr>
          <w:rFonts w:eastAsia="DengXian"/>
          <w:kern w:val="2"/>
          <w:lang w:val="fr" w:eastAsia="zh-CN" w:bidi="ar"/>
        </w:rPr>
        <w:t>L’innovation principale réside dans l’</w:t>
      </w:r>
      <w:r>
        <w:rPr>
          <w:rFonts w:eastAsia="DengXian"/>
          <w:b/>
          <w:bCs/>
          <w:kern w:val="2"/>
          <w:lang w:val="fr" w:eastAsia="zh-CN" w:bidi="ar"/>
        </w:rPr>
        <w:t>intégration des audiences foraines avec l’assistance judiciaire et les mécanismes de coordination multisectoriels</w:t>
      </w:r>
      <w:r>
        <w:rPr>
          <w:rFonts w:eastAsia="DengXian"/>
          <w:kern w:val="2"/>
          <w:lang w:val="fr" w:eastAsia="zh-CN" w:bidi="ar"/>
        </w:rPr>
        <w:t>, permettant de rapprocher la justice des populations tout en garantissant un accompagnement juridique complet des victimes et des prévenus.</w:t>
      </w:r>
    </w:p>
    <w:p w14:paraId="5E91A8E4" w14:textId="77777777" w:rsidR="001B58C7" w:rsidRDefault="000F0E0E">
      <w:pPr>
        <w:spacing w:after="160"/>
        <w:jc w:val="both"/>
        <w:rPr>
          <w:lang w:val="fr"/>
        </w:rPr>
      </w:pPr>
      <w:r>
        <w:rPr>
          <w:rFonts w:eastAsia="DengXian"/>
          <w:kern w:val="2"/>
          <w:lang w:val="fr" w:eastAsia="zh-CN" w:bidi="ar"/>
        </w:rPr>
        <w:t xml:space="preserve">Le projet a également développé une </w:t>
      </w:r>
      <w:r>
        <w:rPr>
          <w:rFonts w:eastAsia="DengXian"/>
          <w:b/>
          <w:bCs/>
          <w:kern w:val="2"/>
          <w:lang w:val="fr" w:eastAsia="zh-CN" w:bidi="ar"/>
        </w:rPr>
        <w:t>approche holistique liant justice pénale, réparation et stabilisation</w:t>
      </w:r>
      <w:r>
        <w:rPr>
          <w:rFonts w:eastAsia="DengXian"/>
          <w:kern w:val="2"/>
          <w:lang w:val="fr" w:eastAsia="zh-CN" w:bidi="ar"/>
        </w:rPr>
        <w:t>, en favorisant les initiatives de cohésion sociale, contribuant ainsi à une réponse plus durable aux conflits.</w:t>
      </w:r>
    </w:p>
    <w:p w14:paraId="15091CDB" w14:textId="77777777" w:rsidR="001B58C7" w:rsidRDefault="000F0E0E">
      <w:pPr>
        <w:spacing w:after="160"/>
        <w:jc w:val="both"/>
        <w:rPr>
          <w:lang w:val="fr"/>
        </w:rPr>
      </w:pPr>
      <w:r>
        <w:rPr>
          <w:rFonts w:eastAsia="DengXian"/>
          <w:kern w:val="2"/>
          <w:lang w:val="fr" w:eastAsia="zh-CN" w:bidi="ar"/>
        </w:rPr>
        <w:t xml:space="preserve">Par ailleurs, la mise en place de </w:t>
      </w:r>
      <w:r>
        <w:rPr>
          <w:rFonts w:eastAsia="DengXian"/>
          <w:b/>
          <w:bCs/>
          <w:kern w:val="2"/>
          <w:lang w:val="fr" w:eastAsia="zh-CN" w:bidi="ar"/>
        </w:rPr>
        <w:t>cadres de concertation multi-acteurs</w:t>
      </w:r>
      <w:r>
        <w:rPr>
          <w:rFonts w:eastAsia="DengXian"/>
          <w:kern w:val="2"/>
          <w:lang w:val="fr" w:eastAsia="zh-CN" w:bidi="ar"/>
        </w:rPr>
        <w:t xml:space="preserve"> et de </w:t>
      </w:r>
      <w:r>
        <w:rPr>
          <w:rFonts w:eastAsia="DengXian"/>
          <w:b/>
          <w:bCs/>
          <w:kern w:val="2"/>
          <w:lang w:val="fr" w:eastAsia="zh-CN" w:bidi="ar"/>
        </w:rPr>
        <w:t>mécanismes communautaires de monitoring de protection</w:t>
      </w:r>
      <w:r>
        <w:rPr>
          <w:rFonts w:eastAsia="DengXian"/>
          <w:kern w:val="2"/>
          <w:lang w:val="fr" w:eastAsia="zh-CN" w:bidi="ar"/>
        </w:rPr>
        <w:t xml:space="preserve"> constitue une innovation en matière de gouvernance participative et de prévention des conflits.</w:t>
      </w:r>
    </w:p>
    <w:p w14:paraId="19A4B1DC" w14:textId="77777777" w:rsidR="001B58C7" w:rsidRDefault="000F0E0E">
      <w:pPr>
        <w:spacing w:after="160"/>
        <w:jc w:val="both"/>
        <w:rPr>
          <w:sz w:val="22"/>
          <w:szCs w:val="22"/>
          <w:lang w:val="fr-FR"/>
        </w:rPr>
      </w:pPr>
      <w:r>
        <w:rPr>
          <w:rFonts w:eastAsia="DengXian"/>
          <w:kern w:val="2"/>
          <w:lang w:val="fr" w:eastAsia="zh-CN" w:bidi="ar"/>
        </w:rPr>
        <w:t xml:space="preserve">Enfin, l’intégration d’une </w:t>
      </w:r>
      <w:r>
        <w:rPr>
          <w:rFonts w:eastAsia="DengXian"/>
          <w:b/>
          <w:bCs/>
          <w:kern w:val="2"/>
          <w:lang w:val="fr" w:eastAsia="zh-CN" w:bidi="ar"/>
        </w:rPr>
        <w:t>approche sensible au genre</w:t>
      </w:r>
      <w:r>
        <w:rPr>
          <w:rFonts w:eastAsia="DengXian"/>
          <w:kern w:val="2"/>
          <w:lang w:val="fr" w:eastAsia="zh-CN" w:bidi="ar"/>
        </w:rPr>
        <w:t>, notamment dans le traitement des VSLC, renforce la prise en compte des victimes</w:t>
      </w:r>
      <w:r>
        <w:rPr>
          <w:rFonts w:eastAsia="DengXian"/>
          <w:kern w:val="2"/>
          <w:lang w:val="fr-FR" w:eastAsia="zh-CN" w:bidi="ar"/>
        </w:rPr>
        <w:t>.</w:t>
      </w:r>
    </w:p>
    <w:p w14:paraId="5E481684" w14:textId="77777777" w:rsidR="001B58C7" w:rsidRDefault="000F0E0E">
      <w:pPr>
        <w:jc w:val="both"/>
        <w:rPr>
          <w:b/>
          <w:bCs/>
          <w:sz w:val="22"/>
          <w:szCs w:val="22"/>
          <w:lang w:val="fr-FR"/>
        </w:rPr>
      </w:pPr>
      <w:sdt>
        <w:sdtPr>
          <w:rPr>
            <w:rFonts w:eastAsia="MS Gothic"/>
            <w:b/>
            <w:bCs/>
            <w:sz w:val="22"/>
            <w:szCs w:val="22"/>
            <w:lang w:val="fr-FR"/>
          </w:rPr>
          <w:id w:val="1466392512"/>
          <w14:checkbox>
            <w14:checked w14:val="1"/>
            <w14:checkedState w14:val="2612" w14:font="MS Gothic"/>
            <w14:uncheckedState w14:val="2610" w14:font="MS Gothic"/>
          </w14:checkbox>
        </w:sdtPr>
        <w:sdtEndPr/>
        <w:sdtContent>
          <w:r>
            <w:rPr>
              <w:rFonts w:ascii="MS Gothic" w:eastAsia="MS Gothic" w:hAnsi="MS Gothic" w:cs="Segoe UI Symbol"/>
              <w:b/>
              <w:bCs/>
              <w:sz w:val="22"/>
              <w:szCs w:val="22"/>
              <w:lang w:val="fr-FR"/>
            </w:rPr>
            <w:t>☒</w:t>
          </w:r>
        </w:sdtContent>
      </w:sdt>
      <w:r>
        <w:rPr>
          <w:b/>
          <w:bCs/>
          <w:sz w:val="22"/>
          <w:szCs w:val="22"/>
          <w:lang w:val="fr-FR"/>
        </w:rPr>
        <w:t xml:space="preserve"> Ressources supplémentaires mobilisées [expliquez, s'il vous plaît] </w:t>
      </w:r>
    </w:p>
    <w:p w14:paraId="0E94BEBE" w14:textId="77777777" w:rsidR="001B58C7" w:rsidRDefault="001B58C7">
      <w:pPr>
        <w:jc w:val="both"/>
        <w:rPr>
          <w:b/>
          <w:bCs/>
          <w:sz w:val="22"/>
          <w:szCs w:val="22"/>
          <w:lang w:val="fr-FR"/>
        </w:rPr>
      </w:pPr>
    </w:p>
    <w:p w14:paraId="7B662B01" w14:textId="77777777" w:rsidR="001B58C7" w:rsidRDefault="000F0E0E">
      <w:pPr>
        <w:spacing w:after="160" w:line="276" w:lineRule="auto"/>
        <w:jc w:val="both"/>
        <w:rPr>
          <w:lang w:val="fr"/>
        </w:rPr>
      </w:pPr>
      <w:r>
        <w:rPr>
          <w:rFonts w:eastAsia="DengXian"/>
          <w:kern w:val="2"/>
          <w:lang w:val="fr" w:eastAsia="zh-CN" w:bidi="ar"/>
        </w:rPr>
        <w:t>Dans le cadre de la mise en œuvre du projet PROJUST dans les provinces du Kasaï et du Kasaï Central, en particulier au titre de l’axe 1 relatif à la gouvernance et à la justice transitionnelle, une synergie structurante a été établie avec l’Union Européenne, à travers son appui à la Commission Provinciale Vérité, Justice et Réconciliation (CPVJR) via l’ONG TRIAL International.</w:t>
      </w:r>
    </w:p>
    <w:p w14:paraId="198CB71B" w14:textId="77777777" w:rsidR="001B58C7" w:rsidRDefault="000F0E0E">
      <w:pPr>
        <w:spacing w:after="160" w:line="276" w:lineRule="auto"/>
        <w:jc w:val="both"/>
        <w:rPr>
          <w:lang w:val="fr"/>
        </w:rPr>
      </w:pPr>
      <w:r>
        <w:rPr>
          <w:rFonts w:eastAsia="DengXian"/>
          <w:kern w:val="2"/>
          <w:lang w:val="fr" w:eastAsia="zh-CN" w:bidi="ar"/>
        </w:rPr>
        <w:t>Cette collaboration a permis de mobiliser des ressources financières et techniques additionnelles, contribuant de manière significative à l’atteinte des résultats du projet, au</w:t>
      </w:r>
      <w:r>
        <w:rPr>
          <w:rFonts w:eastAsia="DengXian"/>
          <w:kern w:val="2"/>
          <w:lang w:val="fr" w:eastAsia="zh-CN" w:bidi="ar"/>
        </w:rPr>
        <w:noBreakHyphen/>
        <w:t>delà des cibles initialement fixées à mi</w:t>
      </w:r>
      <w:r>
        <w:rPr>
          <w:rFonts w:eastAsia="DengXian"/>
          <w:kern w:val="2"/>
          <w:lang w:val="fr" w:eastAsia="zh-CN" w:bidi="ar"/>
        </w:rPr>
        <w:noBreakHyphen/>
        <w:t>parcours. L’effet de levier généré par ce partenariat a renforcé l’efficacité et l’efficience des interventions, notamment grâce à une planification conjointe, une coordination opérationnelle étroite et un partage régulier d’informations entre les partenaires.</w:t>
      </w:r>
    </w:p>
    <w:p w14:paraId="46595675" w14:textId="77777777" w:rsidR="001B58C7" w:rsidRDefault="000F0E0E">
      <w:pPr>
        <w:spacing w:after="160" w:line="276" w:lineRule="auto"/>
        <w:jc w:val="both"/>
        <w:rPr>
          <w:lang w:val="fr"/>
        </w:rPr>
      </w:pPr>
      <w:r>
        <w:rPr>
          <w:rFonts w:eastAsia="DengXian"/>
          <w:kern w:val="2"/>
          <w:lang w:val="fr" w:eastAsia="zh-CN" w:bidi="ar"/>
        </w:rPr>
        <w:t xml:space="preserve">Sur le plan opérationnel, cette dynamique collaborative s’est traduite par la mise en œuvre réussie de plusieurs activités structurantes, dont l’organisation de quatre (04) missions d’audiences foraines au bénéfice des populations ciblées. Ces interventions ont permis </w:t>
      </w:r>
      <w:r>
        <w:rPr>
          <w:rFonts w:eastAsia="DengXian"/>
          <w:kern w:val="2"/>
          <w:lang w:val="fr" w:eastAsia="zh-CN" w:bidi="ar"/>
        </w:rPr>
        <w:lastRenderedPageBreak/>
        <w:t>d’améliorer l’accès à la justice et de renforcer la lutte contre l’impunité, notamment pour les crimes graves, tout en consolidant la confiance entre les communautés et les institutions judiciaires.</w:t>
      </w:r>
    </w:p>
    <w:p w14:paraId="6C56A390" w14:textId="77777777" w:rsidR="001B58C7" w:rsidRDefault="000F0E0E">
      <w:pPr>
        <w:spacing w:after="160" w:line="276" w:lineRule="auto"/>
        <w:jc w:val="both"/>
        <w:rPr>
          <w:lang w:val="fr"/>
        </w:rPr>
      </w:pPr>
      <w:r>
        <w:rPr>
          <w:rFonts w:eastAsia="DengXian"/>
          <w:kern w:val="2"/>
          <w:lang w:val="fr" w:eastAsia="zh-CN" w:bidi="ar"/>
        </w:rPr>
        <w:t>Par ailleurs, la contribution technique et financière de TRIAL International a favorisé l’amélioration de la qualité des interventions, en particulier dans le traitement des dossiers complexes, y compris ceux liés aux crimes de droit international et aux violences sexuelles liées aux conflits (VSLC).</w:t>
      </w:r>
    </w:p>
    <w:p w14:paraId="52CDBC14" w14:textId="77777777" w:rsidR="001B58C7" w:rsidRDefault="000F0E0E">
      <w:pPr>
        <w:spacing w:after="160" w:line="276" w:lineRule="auto"/>
        <w:jc w:val="both"/>
        <w:rPr>
          <w:b/>
          <w:bCs/>
          <w:sz w:val="22"/>
          <w:szCs w:val="22"/>
          <w:lang w:val="fr-FR"/>
        </w:rPr>
      </w:pPr>
      <w:r>
        <w:rPr>
          <w:rFonts w:eastAsia="DengXian"/>
          <w:kern w:val="2"/>
          <w:lang w:val="fr" w:eastAsia="zh-CN" w:bidi="ar"/>
        </w:rPr>
        <w:t>Enfin, l’existence d’un cadre de concertation fonctionnel entre les acteurs impliqués a permis de renforcer la cohérence des interventions et d’optimiser l’utilisation des ressources disponibles. Cette approche coordonnée a ainsi contribué à amplifier l’impact du projet tant au niveau des bénéficiaires directs qu’indirects, tout en consolidant les bases d’une réponse institutionnelle plus intégrée et durable.</w:t>
      </w:r>
    </w:p>
    <w:p w14:paraId="39B53357" w14:textId="77777777" w:rsidR="001B58C7" w:rsidRDefault="001B58C7">
      <w:pPr>
        <w:jc w:val="both"/>
        <w:rPr>
          <w:rFonts w:eastAsia="Segoe UI"/>
          <w:sz w:val="22"/>
          <w:szCs w:val="22"/>
          <w:lang w:val="fr-FR"/>
        </w:rPr>
      </w:pPr>
    </w:p>
    <w:p w14:paraId="777F75E8" w14:textId="77777777" w:rsidR="001B58C7" w:rsidRDefault="000F0E0E">
      <w:pPr>
        <w:jc w:val="both"/>
        <w:rPr>
          <w:sz w:val="22"/>
          <w:szCs w:val="22"/>
          <w:lang w:val="fr-FR"/>
        </w:rPr>
      </w:pPr>
      <w:sdt>
        <w:sdtPr>
          <w:rPr>
            <w:rFonts w:eastAsia="MS Gothic"/>
            <w:sz w:val="22"/>
            <w:szCs w:val="22"/>
            <w:lang w:val="fr-FR"/>
          </w:rPr>
          <w:id w:val="-1863893016"/>
          <w14:checkbox>
            <w14:checked w14:val="0"/>
            <w14:checkedState w14:val="2612" w14:font="MS Gothic"/>
            <w14:uncheckedState w14:val="2610" w14:font="MS Gothic"/>
          </w14:checkbox>
        </w:sdtPr>
        <w:sdtEndPr/>
        <w:sdtContent>
          <w:r>
            <w:rPr>
              <w:rFonts w:ascii="Segoe UI Symbol" w:eastAsia="MS Gothic" w:hAnsi="Segoe UI Symbol" w:cs="Segoe UI Symbol"/>
              <w:sz w:val="22"/>
              <w:szCs w:val="22"/>
              <w:lang w:val="fr-FR"/>
            </w:rPr>
            <w:t>☐</w:t>
          </w:r>
        </w:sdtContent>
      </w:sdt>
      <w:r>
        <w:rPr>
          <w:b/>
          <w:bCs/>
          <w:sz w:val="22"/>
          <w:szCs w:val="22"/>
          <w:lang w:val="fr-FR"/>
        </w:rPr>
        <w:t xml:space="preserve"> </w:t>
      </w:r>
      <w:r>
        <w:rPr>
          <w:sz w:val="22"/>
          <w:szCs w:val="22"/>
          <w:lang w:val="fr-FR"/>
        </w:rPr>
        <w:t>Cadres politiques améliorés ou initiés [expliquez, s'il vous plaît]</w:t>
      </w:r>
    </w:p>
    <w:p w14:paraId="6FDB354C" w14:textId="77777777" w:rsidR="001B58C7" w:rsidRDefault="000F0E0E">
      <w:pPr>
        <w:jc w:val="both"/>
        <w:rPr>
          <w:sz w:val="22"/>
          <w:szCs w:val="22"/>
          <w:lang w:val="fr-FR"/>
        </w:rPr>
      </w:pPr>
      <w:sdt>
        <w:sdtPr>
          <w:rPr>
            <w:rFonts w:eastAsia="MS Gothic"/>
            <w:sz w:val="22"/>
            <w:szCs w:val="22"/>
            <w:lang w:val="fr-FR"/>
          </w:rPr>
          <w:id w:val="422924228"/>
          <w14:checkbox>
            <w14:checked w14:val="0"/>
            <w14:checkedState w14:val="2612" w14:font="MS Gothic"/>
            <w14:uncheckedState w14:val="2610" w14:font="MS Gothic"/>
          </w14:checkbox>
        </w:sdtPr>
        <w:sdtEndPr/>
        <w:sdtContent>
          <w:r>
            <w:rPr>
              <w:rFonts w:ascii="Segoe UI Symbol" w:eastAsia="MS Gothic" w:hAnsi="Segoe UI Symbol" w:cs="Segoe UI Symbol"/>
              <w:sz w:val="22"/>
              <w:szCs w:val="22"/>
              <w:lang w:val="fr-FR"/>
            </w:rPr>
            <w:t>☐</w:t>
          </w:r>
        </w:sdtContent>
      </w:sdt>
      <w:r>
        <w:rPr>
          <w:b/>
          <w:bCs/>
          <w:sz w:val="22"/>
          <w:szCs w:val="22"/>
          <w:lang w:val="fr-FR"/>
        </w:rPr>
        <w:t xml:space="preserve"> </w:t>
      </w:r>
      <w:r>
        <w:rPr>
          <w:sz w:val="22"/>
          <w:szCs w:val="22"/>
          <w:lang w:val="fr-FR"/>
        </w:rPr>
        <w:t>Capacités renforcées [expliquez, s'il vous plaît]</w:t>
      </w:r>
    </w:p>
    <w:p w14:paraId="479893BA" w14:textId="77777777" w:rsidR="001B58C7" w:rsidRDefault="001B58C7">
      <w:pPr>
        <w:jc w:val="both"/>
        <w:rPr>
          <w:sz w:val="22"/>
          <w:szCs w:val="22"/>
          <w:lang w:val="fr-FR"/>
        </w:rPr>
      </w:pPr>
    </w:p>
    <w:p w14:paraId="43682ECC" w14:textId="77777777" w:rsidR="001B58C7" w:rsidRDefault="000F0E0E">
      <w:pPr>
        <w:jc w:val="both"/>
        <w:rPr>
          <w:b/>
          <w:bCs/>
          <w:sz w:val="22"/>
          <w:szCs w:val="22"/>
          <w:lang w:val="fr-FR"/>
        </w:rPr>
      </w:pPr>
      <w:sdt>
        <w:sdtPr>
          <w:rPr>
            <w:rFonts w:eastAsia="MS Gothic"/>
            <w:sz w:val="22"/>
            <w:szCs w:val="22"/>
            <w:highlight w:val="yellow"/>
            <w:lang w:val="fr-FR"/>
          </w:rPr>
          <w:id w:val="-704241902"/>
          <w14:checkbox>
            <w14:checked w14:val="1"/>
            <w14:checkedState w14:val="2612" w14:font="MS Gothic"/>
            <w14:uncheckedState w14:val="2610" w14:font="MS Gothic"/>
          </w14:checkbox>
        </w:sdtPr>
        <w:sdtEndPr>
          <w:rPr>
            <w:b/>
            <w:bCs/>
            <w:highlight w:val="none"/>
          </w:rPr>
        </w:sdtEndPr>
        <w:sdtContent>
          <w:r>
            <w:rPr>
              <w:rFonts w:ascii="MS Gothic" w:eastAsia="MS Gothic" w:hAnsi="MS Gothic" w:cs="Segoe UI Symbol"/>
              <w:b/>
              <w:bCs/>
              <w:sz w:val="22"/>
              <w:szCs w:val="22"/>
              <w:lang w:val="fr-FR"/>
            </w:rPr>
            <w:t>☒</w:t>
          </w:r>
        </w:sdtContent>
      </w:sdt>
      <w:r>
        <w:rPr>
          <w:b/>
          <w:bCs/>
          <w:sz w:val="22"/>
          <w:szCs w:val="22"/>
          <w:lang w:val="fr-FR"/>
        </w:rPr>
        <w:t xml:space="preserve"> Partenariat avec des organisations locales de la société civile [expliquez, s'il vous plaît] </w:t>
      </w:r>
    </w:p>
    <w:p w14:paraId="0ED814FD" w14:textId="77777777" w:rsidR="001B58C7" w:rsidRDefault="000F0E0E">
      <w:pPr>
        <w:jc w:val="both"/>
        <w:rPr>
          <w:rFonts w:eastAsia="Segoe UI"/>
          <w:sz w:val="22"/>
          <w:szCs w:val="22"/>
          <w:lang w:val="fr-FR"/>
        </w:rPr>
      </w:pPr>
      <w:r>
        <w:rPr>
          <w:rFonts w:eastAsia="Segoe UI"/>
          <w:sz w:val="22"/>
          <w:szCs w:val="22"/>
          <w:lang w:val="fr-FR"/>
        </w:rPr>
        <w:t xml:space="preserve">Dans le cadre du projet PROJUST, le BCNUDH a établi un partenariat structurant avec </w:t>
      </w:r>
      <w:r>
        <w:rPr>
          <w:rStyle w:val="lev"/>
          <w:rFonts w:eastAsia="Segoe UI"/>
          <w:sz w:val="22"/>
          <w:szCs w:val="22"/>
          <w:lang w:val="fr-FR"/>
        </w:rPr>
        <w:t>15 organisations de la société civile</w:t>
      </w:r>
      <w:r>
        <w:rPr>
          <w:rFonts w:eastAsia="Segoe UI"/>
          <w:sz w:val="22"/>
          <w:szCs w:val="22"/>
          <w:lang w:val="fr-FR"/>
        </w:rPr>
        <w:t xml:space="preserve">, ainsi qu’avec des associations de victimes, qui jouent un rôle central dans la mise en œuvre des activités. Ces organisations ont contribué de manière directe au déploiement opérationnel de la CPVJR en mettant à disposition </w:t>
      </w:r>
      <w:r>
        <w:rPr>
          <w:rStyle w:val="lev"/>
          <w:rFonts w:eastAsia="Segoe UI"/>
          <w:sz w:val="22"/>
          <w:szCs w:val="22"/>
          <w:lang w:val="fr-FR"/>
        </w:rPr>
        <w:t>30 enquêteurs chargés de la collecte des dépositions</w:t>
      </w:r>
      <w:r>
        <w:rPr>
          <w:rFonts w:eastAsia="Segoe UI"/>
          <w:sz w:val="22"/>
          <w:szCs w:val="22"/>
          <w:lang w:val="fr-FR"/>
        </w:rPr>
        <w:t xml:space="preserve"> des victimes et des témoins, facilitant ainsi l’accès aux communautés et la crédibilité du processus. Par ailleurs, la </w:t>
      </w:r>
      <w:r>
        <w:rPr>
          <w:rStyle w:val="lev"/>
          <w:rFonts w:eastAsia="Segoe UI"/>
          <w:sz w:val="22"/>
          <w:szCs w:val="22"/>
          <w:lang w:val="fr-FR"/>
        </w:rPr>
        <w:t>CPVJR elle-même est issue de la société civile</w:t>
      </w:r>
      <w:r>
        <w:rPr>
          <w:rFonts w:eastAsia="Segoe UI"/>
          <w:sz w:val="22"/>
          <w:szCs w:val="22"/>
          <w:lang w:val="fr-FR"/>
        </w:rPr>
        <w:t>, tous ses commissaires étant r</w:t>
      </w:r>
      <w:r>
        <w:rPr>
          <w:rFonts w:eastAsia="Segoe UI"/>
          <w:sz w:val="22"/>
          <w:szCs w:val="22"/>
          <w:lang w:val="fr-FR"/>
        </w:rPr>
        <w:t>ecrutés en son sein. Cette configuration renforce l’ancrage local, l’appropriation communautaire et la légitimité des mécanismes de justice transitionnelle. Elle favorise également la confiance des populations, notamment des victimes, et soutient une approche participative et inclusive dans la recherche de la vérité, de la justice et de la réconciliation.</w:t>
      </w:r>
    </w:p>
    <w:p w14:paraId="12A9EF53" w14:textId="77777777" w:rsidR="001B58C7" w:rsidRDefault="001B58C7">
      <w:pPr>
        <w:jc w:val="both"/>
        <w:rPr>
          <w:rFonts w:eastAsia="Segoe UI"/>
          <w:sz w:val="22"/>
          <w:szCs w:val="22"/>
          <w:lang w:val="fr-FR"/>
        </w:rPr>
      </w:pPr>
    </w:p>
    <w:p w14:paraId="1C4F0C96" w14:textId="77777777" w:rsidR="001B58C7" w:rsidRDefault="000F0E0E">
      <w:pPr>
        <w:jc w:val="both"/>
        <w:rPr>
          <w:sz w:val="22"/>
          <w:szCs w:val="22"/>
          <w:lang w:val="fr-FR"/>
        </w:rPr>
      </w:pPr>
      <w:sdt>
        <w:sdtPr>
          <w:rPr>
            <w:rFonts w:eastAsia="MS Gothic"/>
            <w:sz w:val="22"/>
            <w:szCs w:val="22"/>
            <w:lang w:val="fr-FR"/>
          </w:rPr>
          <w:id w:val="-326432009"/>
          <w14:checkbox>
            <w14:checked w14:val="0"/>
            <w14:checkedState w14:val="2612" w14:font="MS Gothic"/>
            <w14:uncheckedState w14:val="2610" w14:font="MS Gothic"/>
          </w14:checkbox>
        </w:sdtPr>
        <w:sdtEndPr/>
        <w:sdtContent>
          <w:r>
            <w:rPr>
              <w:rFonts w:ascii="Segoe UI Symbol" w:eastAsia="MS Gothic" w:hAnsi="Segoe UI Symbol" w:cs="Segoe UI Symbol"/>
              <w:sz w:val="22"/>
              <w:szCs w:val="22"/>
              <w:lang w:val="fr-FR"/>
            </w:rPr>
            <w:t>☐</w:t>
          </w:r>
        </w:sdtContent>
      </w:sdt>
      <w:r>
        <w:rPr>
          <w:sz w:val="22"/>
          <w:szCs w:val="22"/>
          <w:lang w:val="fr-FR"/>
        </w:rPr>
        <w:t xml:space="preserve"> Élargir les coalitions et galvaniser la volonté politique [expliquez, s'il vous plaît]</w:t>
      </w:r>
    </w:p>
    <w:p w14:paraId="1FA28A45" w14:textId="77777777" w:rsidR="001B58C7" w:rsidRDefault="000F0E0E">
      <w:pPr>
        <w:jc w:val="both"/>
        <w:rPr>
          <w:strike/>
          <w:sz w:val="22"/>
          <w:szCs w:val="22"/>
          <w:lang w:val="fr-FR"/>
        </w:rPr>
      </w:pPr>
      <w:sdt>
        <w:sdtPr>
          <w:rPr>
            <w:rFonts w:eastAsia="MS Gothic"/>
            <w:sz w:val="22"/>
            <w:szCs w:val="22"/>
            <w:lang w:val="fr-FR"/>
          </w:rPr>
          <w:id w:val="816764781"/>
          <w14:checkbox>
            <w14:checked w14:val="0"/>
            <w14:checkedState w14:val="2612" w14:font="MS Gothic"/>
            <w14:uncheckedState w14:val="2610" w14:font="MS Gothic"/>
          </w14:checkbox>
        </w:sdtPr>
        <w:sdtEndPr/>
        <w:sdtContent>
          <w:r>
            <w:rPr>
              <w:rFonts w:ascii="Segoe UI Symbol" w:eastAsia="MS Gothic" w:hAnsi="Segoe UI Symbol" w:cs="Segoe UI Symbol"/>
              <w:sz w:val="22"/>
              <w:szCs w:val="22"/>
              <w:lang w:val="fr-FR"/>
            </w:rPr>
            <w:t>☐</w:t>
          </w:r>
        </w:sdtContent>
      </w:sdt>
      <w:r>
        <w:rPr>
          <w:sz w:val="22"/>
          <w:szCs w:val="22"/>
          <w:lang w:val="fr-FR"/>
        </w:rPr>
        <w:t xml:space="preserve"> Renforcer les partenariats avec les institutions financières internationales (IFI) [expliquez, s'il vous plaît]</w:t>
      </w:r>
    </w:p>
    <w:p w14:paraId="399F4040" w14:textId="77777777" w:rsidR="001B58C7" w:rsidRDefault="000F0E0E">
      <w:pPr>
        <w:jc w:val="both"/>
        <w:rPr>
          <w:strike/>
          <w:sz w:val="22"/>
          <w:szCs w:val="22"/>
          <w:lang w:val="fr-FR"/>
        </w:rPr>
      </w:pPr>
      <w:sdt>
        <w:sdtPr>
          <w:rPr>
            <w:rFonts w:eastAsia="MS Gothic"/>
            <w:sz w:val="22"/>
            <w:szCs w:val="22"/>
            <w:lang w:val="fr-FR"/>
          </w:rPr>
          <w:id w:val="-1436439881"/>
          <w14:checkbox>
            <w14:checked w14:val="0"/>
            <w14:checkedState w14:val="2612" w14:font="MS Gothic"/>
            <w14:uncheckedState w14:val="2610" w14:font="MS Gothic"/>
          </w14:checkbox>
        </w:sdtPr>
        <w:sdtEndPr/>
        <w:sdtContent>
          <w:r>
            <w:rPr>
              <w:rFonts w:ascii="Segoe UI Symbol" w:eastAsia="MS Gothic" w:hAnsi="Segoe UI Symbol" w:cs="Segoe UI Symbol"/>
              <w:sz w:val="22"/>
              <w:szCs w:val="22"/>
              <w:lang w:val="fr-FR"/>
            </w:rPr>
            <w:t>☐</w:t>
          </w:r>
        </w:sdtContent>
      </w:sdt>
      <w:r>
        <w:rPr>
          <w:sz w:val="22"/>
          <w:szCs w:val="22"/>
          <w:lang w:val="fr-FR"/>
        </w:rPr>
        <w:t xml:space="preserve"> Renforcement des partenariats au sein des agences des Nations Unies [expliquez, s'il vous plaît]</w:t>
      </w:r>
    </w:p>
    <w:p w14:paraId="2D70A028" w14:textId="77777777" w:rsidR="001B58C7" w:rsidRDefault="001B58C7">
      <w:pPr>
        <w:ind w:left="-810"/>
        <w:rPr>
          <w:lang w:val="fr-FR"/>
        </w:rPr>
      </w:pPr>
    </w:p>
    <w:p w14:paraId="54BCEE41" w14:textId="77777777" w:rsidR="001B58C7" w:rsidRDefault="000F0E0E">
      <w:pPr>
        <w:ind w:left="-810"/>
        <w:rPr>
          <w:lang w:val="fr-FR"/>
        </w:rPr>
      </w:pPr>
      <w:r>
        <w:rPr>
          <w:b/>
          <w:bCs/>
          <w:u w:val="single"/>
          <w:lang w:val="fr-FR"/>
        </w:rPr>
        <w:t xml:space="preserve">Avec qui travaillons-nous </w:t>
      </w:r>
      <w:r>
        <w:rPr>
          <w:i/>
          <w:iCs/>
          <w:lang w:val="fr-FR"/>
        </w:rPr>
        <w:t>(3000 caractères</w:t>
      </w:r>
      <w:proofErr w:type="gramStart"/>
      <w:r>
        <w:rPr>
          <w:i/>
          <w:iCs/>
          <w:lang w:val="fr-FR"/>
        </w:rPr>
        <w:t>)</w:t>
      </w:r>
      <w:r>
        <w:rPr>
          <w:lang w:val="fr-FR"/>
        </w:rPr>
        <w:t>:</w:t>
      </w:r>
      <w:proofErr w:type="gramEnd"/>
    </w:p>
    <w:p w14:paraId="6F0D17A4" w14:textId="77777777" w:rsidR="001B58C7" w:rsidRDefault="000F0E0E">
      <w:pPr>
        <w:spacing w:line="259" w:lineRule="auto"/>
        <w:jc w:val="both"/>
        <w:rPr>
          <w:sz w:val="22"/>
          <w:szCs w:val="22"/>
          <w:lang w:val="fr-FR"/>
        </w:rPr>
      </w:pPr>
      <w:sdt>
        <w:sdtPr>
          <w:rPr>
            <w:rFonts w:eastAsia="MS Gothic"/>
            <w:sz w:val="22"/>
            <w:szCs w:val="22"/>
            <w:lang w:val="fr-FR"/>
          </w:rPr>
          <w:id w:val="1511979387"/>
        </w:sdtPr>
        <w:sdtEndPr/>
        <w:sdtContent>
          <w:r>
            <w:rPr>
              <w:rFonts w:ascii="Segoe UI Symbol" w:eastAsia="MS Gothic" w:hAnsi="Segoe UI Symbol" w:cs="Segoe UI Symbol"/>
              <w:sz w:val="22"/>
              <w:szCs w:val="22"/>
              <w:lang w:val="fr-FR"/>
            </w:rPr>
            <w:t>☐</w:t>
          </w:r>
        </w:sdtContent>
      </w:sdt>
      <w:r>
        <w:rPr>
          <w:sz w:val="22"/>
          <w:szCs w:val="22"/>
          <w:lang w:val="fr-FR"/>
        </w:rPr>
        <w:t xml:space="preserve"> Renforcement des partenariats avec les IFI [expliquez, s'il vous plaît]</w:t>
      </w:r>
    </w:p>
    <w:p w14:paraId="6450DB39" w14:textId="77777777" w:rsidR="001B58C7" w:rsidRDefault="001B58C7">
      <w:pPr>
        <w:spacing w:line="259" w:lineRule="auto"/>
        <w:jc w:val="both"/>
        <w:rPr>
          <w:sz w:val="22"/>
          <w:szCs w:val="22"/>
          <w:lang w:val="fr-FR"/>
        </w:rPr>
      </w:pPr>
    </w:p>
    <w:p w14:paraId="0CF7023C" w14:textId="77777777" w:rsidR="001B58C7" w:rsidRDefault="000F0E0E">
      <w:pPr>
        <w:spacing w:line="259" w:lineRule="auto"/>
        <w:jc w:val="both"/>
        <w:rPr>
          <w:b/>
          <w:bCs/>
          <w:sz w:val="22"/>
          <w:szCs w:val="22"/>
          <w:lang w:val="fr-FR"/>
        </w:rPr>
      </w:pPr>
      <w:sdt>
        <w:sdtPr>
          <w:rPr>
            <w:rFonts w:eastAsia="MS Gothic"/>
            <w:b/>
            <w:bCs/>
            <w:sz w:val="22"/>
            <w:szCs w:val="22"/>
            <w:lang w:val="fr-FR"/>
          </w:rPr>
          <w:id w:val="949205695"/>
        </w:sdtPr>
        <w:sdtEndPr/>
        <w:sdtContent>
          <w:r>
            <w:rPr>
              <w:rFonts w:ascii="Segoe UI Symbol" w:eastAsia="MS Gothic" w:hAnsi="Segoe UI Symbol" w:cs="Segoe UI Symbol"/>
              <w:b/>
              <w:bCs/>
              <w:sz w:val="22"/>
              <w:szCs w:val="22"/>
              <w:lang w:val="fr-FR"/>
            </w:rPr>
            <w:t>☐</w:t>
          </w:r>
        </w:sdtContent>
      </w:sdt>
      <w:r>
        <w:rPr>
          <w:b/>
          <w:bCs/>
          <w:sz w:val="22"/>
          <w:szCs w:val="22"/>
          <w:lang w:val="fr-FR"/>
        </w:rPr>
        <w:t xml:space="preserve"> Renforcement des partenariats entre les agences des Nations Unies [expliquez, s'il vous plaît]</w:t>
      </w:r>
    </w:p>
    <w:p w14:paraId="7B1D7A2E" w14:textId="77777777" w:rsidR="001B58C7" w:rsidRDefault="001B58C7">
      <w:pPr>
        <w:spacing w:line="259" w:lineRule="auto"/>
        <w:jc w:val="both"/>
        <w:rPr>
          <w:sz w:val="22"/>
          <w:szCs w:val="22"/>
          <w:lang w:val="fr-FR"/>
        </w:rPr>
      </w:pPr>
    </w:p>
    <w:p w14:paraId="34E5345E" w14:textId="77777777" w:rsidR="001B58C7" w:rsidRDefault="000F0E0E">
      <w:pPr>
        <w:spacing w:after="160" w:line="276" w:lineRule="auto"/>
        <w:jc w:val="both"/>
        <w:rPr>
          <w:lang w:val="fr"/>
        </w:rPr>
      </w:pPr>
      <w:r>
        <w:rPr>
          <w:rFonts w:eastAsia="DengXian"/>
          <w:kern w:val="2"/>
          <w:lang w:val="fr" w:eastAsia="zh-CN" w:bidi="ar"/>
        </w:rPr>
        <w:t xml:space="preserve">Le projet PROJUST repose sur une approche intégrée et concertée impliquant plusieurs agences des Nations Unies, notamment le PNUD, le HCR et le BCNUDH, avec l’appui du Secrétariat du </w:t>
      </w:r>
      <w:proofErr w:type="spellStart"/>
      <w:r>
        <w:rPr>
          <w:rFonts w:eastAsia="DengXian"/>
          <w:kern w:val="2"/>
          <w:lang w:val="fr" w:eastAsia="zh-CN" w:bidi="ar"/>
        </w:rPr>
        <w:t>Peacebuilding</w:t>
      </w:r>
      <w:proofErr w:type="spellEnd"/>
      <w:r>
        <w:rPr>
          <w:rFonts w:eastAsia="DengXian"/>
          <w:kern w:val="2"/>
          <w:lang w:val="fr" w:eastAsia="zh-CN" w:bidi="ar"/>
        </w:rPr>
        <w:t xml:space="preserve"> Fund (S</w:t>
      </w:r>
      <w:r>
        <w:rPr>
          <w:rFonts w:eastAsia="DengXian"/>
          <w:kern w:val="2"/>
          <w:lang w:val="fr" w:eastAsia="zh-CN" w:bidi="ar"/>
        </w:rPr>
        <w:noBreakHyphen/>
        <w:t>PBF). Cette collaboration interagence constitue un levier stratégique permettant de mutualiser les expertises techniques, d’assurer la complémentarité des interventions et de maximiser l’impact du projet sur la consolidation de la paix.</w:t>
      </w:r>
    </w:p>
    <w:p w14:paraId="5816C527" w14:textId="77777777" w:rsidR="001B58C7" w:rsidRDefault="000F0E0E">
      <w:pPr>
        <w:spacing w:after="160" w:line="276" w:lineRule="auto"/>
        <w:jc w:val="both"/>
        <w:rPr>
          <w:lang w:val="fr"/>
        </w:rPr>
      </w:pPr>
      <w:r>
        <w:rPr>
          <w:rFonts w:eastAsia="DengXian"/>
          <w:kern w:val="2"/>
          <w:lang w:val="fr" w:eastAsia="zh-CN" w:bidi="ar"/>
        </w:rPr>
        <w:t xml:space="preserve">Chaque agence apporte une valeur ajoutée spécifique : le PNUD assure la coordination globale et l’appui à la gouvernance et à la réforme du secteur de la justice ; le BCNUDH contribue au respect et à la promotion des droits humains, notamment dans le traitement des violations </w:t>
      </w:r>
      <w:r>
        <w:rPr>
          <w:rFonts w:eastAsia="DengXian"/>
          <w:kern w:val="2"/>
          <w:lang w:val="fr" w:eastAsia="zh-CN" w:bidi="ar"/>
        </w:rPr>
        <w:lastRenderedPageBreak/>
        <w:t>graves ; le HCR intervient dans les aspects liés à la protection et aux solutions durables pour les populations affectées. Cette synergie permet d’adopter une approche holistique intégrant justice, protection, droits humains et cohésion sociale.</w:t>
      </w:r>
    </w:p>
    <w:p w14:paraId="7C963C2F" w14:textId="77777777" w:rsidR="001B58C7" w:rsidRDefault="000F0E0E">
      <w:pPr>
        <w:spacing w:after="160" w:line="276" w:lineRule="auto"/>
        <w:jc w:val="both"/>
        <w:rPr>
          <w:sz w:val="22"/>
          <w:szCs w:val="22"/>
          <w:lang w:val="fr-FR"/>
        </w:rPr>
      </w:pPr>
      <w:r>
        <w:rPr>
          <w:rFonts w:eastAsia="DengXian"/>
          <w:kern w:val="2"/>
          <w:lang w:val="fr" w:eastAsia="zh-CN" w:bidi="ar"/>
        </w:rPr>
        <w:t>Par ailleurs, les mécanismes de coordination mis en place (réunions interagences, cadres de concertation, missions conjointes) renforcent la cohérence des actions sur le terrain et facilitent l’alignement avec les priorités nationales, notamment dans le cadre du Programme conjoint d’appui à la réforme de la justice 2025</w:t>
      </w:r>
      <w:r>
        <w:rPr>
          <w:rFonts w:eastAsia="DengXian"/>
          <w:kern w:val="2"/>
          <w:lang w:val="fr" w:eastAsia="zh-CN" w:bidi="ar"/>
        </w:rPr>
        <w:noBreakHyphen/>
        <w:t>2029.</w:t>
      </w:r>
    </w:p>
    <w:p w14:paraId="2A8FE12B" w14:textId="77777777" w:rsidR="001B58C7" w:rsidRDefault="000F0E0E">
      <w:pPr>
        <w:spacing w:line="259" w:lineRule="auto"/>
        <w:jc w:val="both"/>
        <w:rPr>
          <w:b/>
          <w:bCs/>
          <w:sz w:val="22"/>
          <w:szCs w:val="22"/>
          <w:lang w:val="fr-FR"/>
        </w:rPr>
      </w:pPr>
      <w:sdt>
        <w:sdtPr>
          <w:rPr>
            <w:rFonts w:eastAsia="MS Gothic"/>
            <w:b/>
            <w:bCs/>
            <w:sz w:val="22"/>
            <w:szCs w:val="22"/>
            <w:lang w:val="fr-FR"/>
          </w:rPr>
          <w:id w:val="375271288"/>
        </w:sdtPr>
        <w:sdtEndPr/>
        <w:sdtContent>
          <w:r>
            <w:rPr>
              <w:rFonts w:ascii="Segoe UI Symbol" w:eastAsia="MS Gothic" w:hAnsi="Segoe UI Symbol" w:cs="Segoe UI Symbol"/>
              <w:b/>
              <w:bCs/>
              <w:sz w:val="22"/>
              <w:szCs w:val="22"/>
              <w:lang w:val="fr-FR"/>
            </w:rPr>
            <w:t>☐</w:t>
          </w:r>
        </w:sdtContent>
      </w:sdt>
      <w:r>
        <w:rPr>
          <w:b/>
          <w:bCs/>
          <w:sz w:val="22"/>
          <w:szCs w:val="22"/>
          <w:lang w:val="fr-FR"/>
        </w:rPr>
        <w:t xml:space="preserve"> Partenariat avec des organisations locales de la société civile [expliquez, s'il vous plaît]</w:t>
      </w:r>
    </w:p>
    <w:p w14:paraId="6CBDFF77" w14:textId="77777777" w:rsidR="001B58C7" w:rsidRDefault="001B58C7">
      <w:pPr>
        <w:spacing w:line="259" w:lineRule="auto"/>
        <w:jc w:val="both"/>
        <w:rPr>
          <w:b/>
          <w:bCs/>
          <w:sz w:val="22"/>
          <w:szCs w:val="22"/>
          <w:lang w:val="fr-FR"/>
        </w:rPr>
      </w:pPr>
    </w:p>
    <w:p w14:paraId="4FFE780F" w14:textId="77777777" w:rsidR="001B58C7" w:rsidRDefault="000F0E0E">
      <w:pPr>
        <w:spacing w:after="160" w:line="276" w:lineRule="auto"/>
        <w:jc w:val="both"/>
        <w:rPr>
          <w:lang w:val="fr"/>
        </w:rPr>
      </w:pPr>
      <w:r>
        <w:rPr>
          <w:rFonts w:eastAsia="DengXian"/>
          <w:kern w:val="2"/>
          <w:lang w:val="fr" w:eastAsia="zh-CN" w:bidi="ar"/>
        </w:rPr>
        <w:t>Le projet s’appuie fortement sur des partenariats avec les organisations locales de la société civile, qui jouent un rôle essentiel dans la mise en œuvre des activités et dans l’ancrage communautaire des interventions dans les deux provinces du Kasai &amp; Kasai Central.</w:t>
      </w:r>
    </w:p>
    <w:p w14:paraId="7050ACCA" w14:textId="77777777" w:rsidR="001B58C7" w:rsidRDefault="000F0E0E">
      <w:pPr>
        <w:spacing w:after="160" w:line="276" w:lineRule="auto"/>
        <w:jc w:val="both"/>
        <w:rPr>
          <w:lang w:val="fr"/>
        </w:rPr>
      </w:pPr>
      <w:r>
        <w:rPr>
          <w:rFonts w:eastAsia="DengXian"/>
          <w:kern w:val="2"/>
          <w:lang w:val="fr" w:eastAsia="zh-CN" w:bidi="ar"/>
        </w:rPr>
        <w:t>Ces organisations sont impliquées dans plusieurs domaines clés : sensibilisation des communautés, monitoring de protection, accompagnement des victimes, participation aux mécanismes de justice transitionnelle (CPVJR) et appui aux processus de résolution pacifique des conflits (MARC). Leur proximité avec les populations leur permet de faciliter l’accès à la justice, de relayer les préoccupations des communautés et de contribuer à la légitimité des interventions.</w:t>
      </w:r>
    </w:p>
    <w:p w14:paraId="6201BD50" w14:textId="77777777" w:rsidR="001B58C7" w:rsidRDefault="000F0E0E">
      <w:pPr>
        <w:spacing w:after="160" w:line="276" w:lineRule="auto"/>
        <w:jc w:val="both"/>
        <w:rPr>
          <w:lang w:val="fr"/>
        </w:rPr>
      </w:pPr>
      <w:r>
        <w:rPr>
          <w:rFonts w:eastAsia="DengXian"/>
          <w:kern w:val="2"/>
          <w:lang w:val="fr" w:eastAsia="zh-CN" w:bidi="ar"/>
        </w:rPr>
        <w:t>Le projet a également renforcé leurs capacités techniques et organisationnelles à travers des formations, un encadrement et un appui opérationnel, permettant ainsi d’assurer une meilleure qualité d’intervention et de favoriser leur autonomisation à long terme.</w:t>
      </w:r>
    </w:p>
    <w:p w14:paraId="77C890AF" w14:textId="77777777" w:rsidR="001B58C7" w:rsidRDefault="000F0E0E">
      <w:pPr>
        <w:spacing w:after="160" w:line="276" w:lineRule="auto"/>
        <w:jc w:val="both"/>
        <w:rPr>
          <w:sz w:val="22"/>
          <w:szCs w:val="22"/>
          <w:lang w:val="fr-FR"/>
        </w:rPr>
      </w:pPr>
      <w:r>
        <w:rPr>
          <w:rFonts w:eastAsia="DengXian"/>
          <w:kern w:val="2"/>
          <w:lang w:val="fr" w:eastAsia="zh-CN" w:bidi="ar"/>
        </w:rPr>
        <w:t>En outre, les différentes synergies de planification et d’actions avec des ONG nationales et internationales spécialisées (telle que TRIAL International) ont permis de renforcer l’expertise technique, notamment dans le traitement des crimes internationaux, des VSLC et dans l’assistance judiciaire des victimes et des prévenus dans les quatre dossiers prioritaires traités et jugés depuis le début de la mise en œuvre de ce projet.</w:t>
      </w:r>
    </w:p>
    <w:p w14:paraId="6463759E" w14:textId="77777777" w:rsidR="001B58C7" w:rsidRDefault="001B58C7">
      <w:pPr>
        <w:spacing w:line="259" w:lineRule="auto"/>
        <w:jc w:val="both"/>
        <w:rPr>
          <w:sz w:val="22"/>
          <w:szCs w:val="22"/>
          <w:lang w:val="fr-FR"/>
        </w:rPr>
      </w:pPr>
    </w:p>
    <w:p w14:paraId="56A42BE7" w14:textId="77777777" w:rsidR="001B58C7" w:rsidRDefault="000F0E0E">
      <w:pPr>
        <w:spacing w:line="259" w:lineRule="auto"/>
        <w:jc w:val="both"/>
        <w:rPr>
          <w:sz w:val="22"/>
          <w:szCs w:val="22"/>
          <w:lang w:val="fr-FR"/>
        </w:rPr>
      </w:pPr>
      <w:sdt>
        <w:sdtPr>
          <w:rPr>
            <w:rFonts w:eastAsia="MS Gothic"/>
            <w:b/>
            <w:bCs/>
            <w:sz w:val="22"/>
            <w:szCs w:val="22"/>
            <w:lang w:val="fr-FR"/>
          </w:rPr>
          <w:id w:val="463410271"/>
        </w:sdtPr>
        <w:sdtEndPr/>
        <w:sdtContent>
          <w:r>
            <w:rPr>
              <w:rFonts w:ascii="Segoe UI Symbol" w:eastAsia="MS Gothic" w:hAnsi="Segoe UI Symbol" w:cs="Segoe UI Symbol"/>
              <w:sz w:val="22"/>
              <w:szCs w:val="22"/>
              <w:lang w:val="fr-FR"/>
            </w:rPr>
            <w:t>☐</w:t>
          </w:r>
        </w:sdtContent>
      </w:sdt>
      <w:r>
        <w:rPr>
          <w:b/>
          <w:bCs/>
          <w:sz w:val="22"/>
          <w:szCs w:val="22"/>
          <w:lang w:val="fr-FR"/>
        </w:rPr>
        <w:t xml:space="preserve"> </w:t>
      </w:r>
      <w:r>
        <w:rPr>
          <w:sz w:val="22"/>
          <w:szCs w:val="22"/>
          <w:lang w:val="fr-FR"/>
        </w:rPr>
        <w:t>En partenariat avec le milieu universitaire/académique local [expliquez, s'il vous plaît]</w:t>
      </w:r>
    </w:p>
    <w:p w14:paraId="73352045" w14:textId="77777777" w:rsidR="001B58C7" w:rsidRDefault="000F0E0E">
      <w:pPr>
        <w:spacing w:line="259" w:lineRule="auto"/>
        <w:jc w:val="both"/>
        <w:rPr>
          <w:sz w:val="22"/>
          <w:szCs w:val="22"/>
          <w:lang w:val="fr-FR"/>
        </w:rPr>
      </w:pPr>
      <w:sdt>
        <w:sdtPr>
          <w:rPr>
            <w:rFonts w:eastAsia="MS Gothic"/>
            <w:b/>
            <w:bCs/>
            <w:sz w:val="22"/>
            <w:szCs w:val="22"/>
            <w:lang w:val="fr-FR"/>
          </w:rPr>
          <w:id w:val="16423522"/>
        </w:sdtPr>
        <w:sdtEndPr/>
        <w:sdtContent>
          <w:r>
            <w:rPr>
              <w:rFonts w:ascii="Segoe UI Symbol" w:eastAsia="MS Gothic" w:hAnsi="Segoe UI Symbol" w:cs="Segoe UI Symbol"/>
              <w:sz w:val="22"/>
              <w:szCs w:val="22"/>
              <w:lang w:val="fr-FR"/>
            </w:rPr>
            <w:t>☐</w:t>
          </w:r>
        </w:sdtContent>
      </w:sdt>
      <w:r>
        <w:rPr>
          <w:b/>
          <w:bCs/>
          <w:sz w:val="22"/>
          <w:szCs w:val="22"/>
          <w:lang w:val="fr-FR"/>
        </w:rPr>
        <w:t xml:space="preserve"> </w:t>
      </w:r>
      <w:r>
        <w:rPr>
          <w:sz w:val="22"/>
          <w:szCs w:val="22"/>
          <w:lang w:val="fr-FR"/>
        </w:rPr>
        <w:t>En partenariat avec des entités infranationales [expliquez, s'il vous plaît]</w:t>
      </w:r>
    </w:p>
    <w:p w14:paraId="5823F1B9" w14:textId="77777777" w:rsidR="001B58C7" w:rsidRDefault="001B58C7">
      <w:pPr>
        <w:spacing w:line="259" w:lineRule="auto"/>
        <w:jc w:val="both"/>
        <w:rPr>
          <w:sz w:val="22"/>
          <w:szCs w:val="22"/>
          <w:lang w:val="fr-FR"/>
        </w:rPr>
      </w:pPr>
    </w:p>
    <w:p w14:paraId="75FD2D61" w14:textId="77777777" w:rsidR="001B58C7" w:rsidRDefault="000F0E0E">
      <w:pPr>
        <w:spacing w:line="259" w:lineRule="auto"/>
        <w:jc w:val="both"/>
        <w:rPr>
          <w:sz w:val="22"/>
          <w:szCs w:val="22"/>
          <w:lang w:val="fr-FR"/>
        </w:rPr>
      </w:pPr>
      <w:sdt>
        <w:sdtPr>
          <w:rPr>
            <w:rFonts w:eastAsia="MS Gothic"/>
            <w:b/>
            <w:bCs/>
            <w:sz w:val="22"/>
            <w:szCs w:val="22"/>
            <w:lang w:val="fr-FR"/>
          </w:rPr>
          <w:id w:val="39472453"/>
        </w:sdtPr>
        <w:sdtEndPr/>
        <w:sdtContent>
          <w:r>
            <w:rPr>
              <w:rFonts w:ascii="Segoe UI Symbol" w:eastAsia="MS Gothic" w:hAnsi="Segoe UI Symbol" w:cs="Segoe UI Symbol"/>
              <w:b/>
              <w:bCs/>
              <w:sz w:val="22"/>
              <w:szCs w:val="22"/>
              <w:lang w:val="fr-FR"/>
            </w:rPr>
            <w:t>☐</w:t>
          </w:r>
        </w:sdtContent>
      </w:sdt>
      <w:r>
        <w:rPr>
          <w:b/>
          <w:bCs/>
          <w:sz w:val="22"/>
          <w:szCs w:val="22"/>
          <w:lang w:val="fr-FR"/>
        </w:rPr>
        <w:t xml:space="preserve"> En partenariat avec des entités nationales [expliquez, s'il vous plaît]</w:t>
      </w:r>
    </w:p>
    <w:p w14:paraId="0CC2E704" w14:textId="77777777" w:rsidR="001B58C7" w:rsidRDefault="001B58C7">
      <w:pPr>
        <w:spacing w:line="259" w:lineRule="auto"/>
        <w:jc w:val="both"/>
        <w:rPr>
          <w:sz w:val="22"/>
          <w:szCs w:val="22"/>
          <w:lang w:val="fr-FR"/>
        </w:rPr>
      </w:pPr>
    </w:p>
    <w:p w14:paraId="2C2532D6" w14:textId="77777777" w:rsidR="001B58C7" w:rsidRDefault="000F0E0E">
      <w:pPr>
        <w:spacing w:after="160" w:line="276" w:lineRule="auto"/>
        <w:jc w:val="both"/>
        <w:rPr>
          <w:lang w:val="fr"/>
        </w:rPr>
      </w:pPr>
      <w:r>
        <w:rPr>
          <w:rFonts w:eastAsia="DengXian"/>
          <w:kern w:val="2"/>
          <w:lang w:val="fr" w:eastAsia="zh-CN" w:bidi="ar"/>
        </w:rPr>
        <w:t xml:space="preserve">L’approche partenariale du projet PROJUST, combinant </w:t>
      </w:r>
      <w:proofErr w:type="gramStart"/>
      <w:r>
        <w:rPr>
          <w:rFonts w:eastAsia="DengXian"/>
          <w:kern w:val="2"/>
          <w:lang w:val="fr" w:eastAsia="zh-CN" w:bidi="ar"/>
        </w:rPr>
        <w:t>la coopération interagences</w:t>
      </w:r>
      <w:proofErr w:type="gramEnd"/>
      <w:r>
        <w:rPr>
          <w:rFonts w:eastAsia="DengXian"/>
          <w:kern w:val="2"/>
          <w:lang w:val="fr" w:eastAsia="zh-CN" w:bidi="ar"/>
        </w:rPr>
        <w:t xml:space="preserve"> des Nations Unies et l’implication active de la société civile, constitue un facteur clé de réussite. Elle favorise la complémentarité des actions, renforce l’appropriation locale et contribue à la durabilité des acquis en matière de justice, de protection et de consolidation de la paix dans les provinces du Kasaï et du Kasaï Central.</w:t>
      </w:r>
    </w:p>
    <w:p w14:paraId="2A1BFFEE" w14:textId="77777777" w:rsidR="001B58C7" w:rsidRDefault="000F0E0E">
      <w:pPr>
        <w:spacing w:after="160" w:line="276" w:lineRule="auto"/>
        <w:jc w:val="both"/>
        <w:rPr>
          <w:lang w:val="fr"/>
        </w:rPr>
      </w:pPr>
      <w:r>
        <w:rPr>
          <w:rFonts w:eastAsia="DengXian"/>
          <w:kern w:val="2"/>
          <w:lang w:val="fr" w:eastAsia="zh-CN" w:bidi="ar"/>
        </w:rPr>
        <w:t>Le projet PROJUST a développé des partenariats étroits avec plusieurs entités nationales et provinciales, renforçant l’appropriation institutionnelle, la coordination des interventions et la durabilité des acquis en matière de consolidation de la paix.</w:t>
      </w:r>
    </w:p>
    <w:p w14:paraId="0F360C2E" w14:textId="77777777" w:rsidR="001B58C7" w:rsidRDefault="000F0E0E">
      <w:pPr>
        <w:spacing w:after="160" w:line="276" w:lineRule="auto"/>
        <w:jc w:val="both"/>
        <w:rPr>
          <w:lang w:val="fr"/>
        </w:rPr>
      </w:pPr>
      <w:r>
        <w:rPr>
          <w:rFonts w:eastAsia="DengXian"/>
          <w:kern w:val="2"/>
          <w:lang w:val="fr" w:eastAsia="zh-CN" w:bidi="ar"/>
        </w:rPr>
        <w:lastRenderedPageBreak/>
        <w:t xml:space="preserve">Au niveau central, le projet collabore avec le </w:t>
      </w:r>
      <w:r>
        <w:rPr>
          <w:rFonts w:eastAsia="DengXian"/>
          <w:b/>
          <w:bCs/>
          <w:kern w:val="2"/>
          <w:lang w:val="fr" w:eastAsia="zh-CN" w:bidi="ar"/>
        </w:rPr>
        <w:t>Ministère de la Justice</w:t>
      </w:r>
      <w:r>
        <w:rPr>
          <w:rFonts w:eastAsia="DengXian"/>
          <w:kern w:val="2"/>
          <w:lang w:val="fr" w:eastAsia="zh-CN" w:bidi="ar"/>
        </w:rPr>
        <w:t xml:space="preserve"> et le </w:t>
      </w:r>
      <w:r>
        <w:rPr>
          <w:rFonts w:eastAsia="DengXian"/>
          <w:b/>
          <w:bCs/>
          <w:kern w:val="2"/>
          <w:lang w:val="fr" w:eastAsia="zh-CN" w:bidi="ar"/>
        </w:rPr>
        <w:t>Ministère des Droits humains</w:t>
      </w:r>
      <w:r>
        <w:rPr>
          <w:rFonts w:eastAsia="DengXian"/>
          <w:kern w:val="2"/>
          <w:lang w:val="fr" w:eastAsia="zh-CN" w:bidi="ar"/>
        </w:rPr>
        <w:t>, assurant l’alignement des activités avec les politiques nationales de réforme du secteur de la justice et de promotion des droits humains. Ces institutions participent activement aux cadres de concertation et aux missions conjointes, contribuant à l’ancrage institutionnel du projet.</w:t>
      </w:r>
    </w:p>
    <w:p w14:paraId="277DF576" w14:textId="77777777" w:rsidR="001B58C7" w:rsidRDefault="000F0E0E">
      <w:pPr>
        <w:spacing w:after="160" w:line="276" w:lineRule="auto"/>
        <w:jc w:val="both"/>
        <w:rPr>
          <w:lang w:val="fr"/>
        </w:rPr>
      </w:pPr>
      <w:r>
        <w:rPr>
          <w:rFonts w:eastAsia="DengXian"/>
          <w:kern w:val="2"/>
          <w:lang w:val="fr" w:eastAsia="zh-CN" w:bidi="ar"/>
        </w:rPr>
        <w:t xml:space="preserve">Le projet soutient également la </w:t>
      </w:r>
      <w:r>
        <w:rPr>
          <w:rFonts w:eastAsia="DengXian"/>
          <w:b/>
          <w:bCs/>
          <w:kern w:val="2"/>
          <w:lang w:val="fr" w:eastAsia="zh-CN" w:bidi="ar"/>
        </w:rPr>
        <w:t>CPVJR du Kasaï Central</w:t>
      </w:r>
      <w:r>
        <w:rPr>
          <w:rFonts w:eastAsia="DengXian"/>
          <w:kern w:val="2"/>
          <w:lang w:val="fr" w:eastAsia="zh-CN" w:bidi="ar"/>
        </w:rPr>
        <w:t>, en appui à son fonctionnement et à son rôle dans la justice transitionnelle, bien que sa pérennité reste liée à un renforcement de son appropriation nationale.</w:t>
      </w:r>
    </w:p>
    <w:p w14:paraId="263E84EA" w14:textId="77777777" w:rsidR="001B58C7" w:rsidRDefault="000F0E0E">
      <w:pPr>
        <w:spacing w:after="160" w:line="276" w:lineRule="auto"/>
        <w:jc w:val="both"/>
        <w:rPr>
          <w:sz w:val="22"/>
          <w:szCs w:val="22"/>
          <w:lang w:val="fr-FR"/>
        </w:rPr>
      </w:pPr>
      <w:r>
        <w:rPr>
          <w:rFonts w:eastAsia="DengXian"/>
          <w:kern w:val="2"/>
          <w:lang w:val="fr" w:eastAsia="zh-CN" w:bidi="ar"/>
        </w:rPr>
        <w:t>Au niveau provincial, PROJUST travaille avec les autorités locales, les divisions techniques déconcentrées et les juridictions civiles et militaires, garantissant une mise en œuvre coordonnée et adaptée aux réalités locales</w:t>
      </w:r>
      <w:r>
        <w:rPr>
          <w:rFonts w:eastAsia="DengXian"/>
          <w:kern w:val="2"/>
          <w:lang w:val="fr-FR" w:eastAsia="zh-CN" w:bidi="ar"/>
        </w:rPr>
        <w:t>.</w:t>
      </w:r>
    </w:p>
    <w:p w14:paraId="477DBEB4" w14:textId="77777777" w:rsidR="001B58C7" w:rsidRDefault="000F0E0E">
      <w:pPr>
        <w:spacing w:line="259" w:lineRule="auto"/>
        <w:jc w:val="both"/>
        <w:rPr>
          <w:b/>
          <w:bCs/>
          <w:sz w:val="22"/>
          <w:szCs w:val="22"/>
          <w:lang w:val="fr-FR"/>
        </w:rPr>
      </w:pPr>
      <w:sdt>
        <w:sdtPr>
          <w:rPr>
            <w:rFonts w:eastAsia="MS Gothic"/>
            <w:b/>
            <w:bCs/>
            <w:sz w:val="22"/>
            <w:szCs w:val="22"/>
            <w:lang w:val="fr-FR"/>
          </w:rPr>
          <w:id w:val="1186695427"/>
        </w:sdtPr>
        <w:sdtEndPr/>
        <w:sdtContent>
          <w:r>
            <w:rPr>
              <w:rFonts w:ascii="Segoe UI Symbol" w:eastAsia="MS Gothic" w:hAnsi="Segoe UI Symbol" w:cs="Segoe UI Symbol"/>
              <w:b/>
              <w:bCs/>
              <w:sz w:val="22"/>
              <w:szCs w:val="22"/>
              <w:lang w:val="fr-FR"/>
            </w:rPr>
            <w:t>☐</w:t>
          </w:r>
        </w:sdtContent>
      </w:sdt>
      <w:r>
        <w:rPr>
          <w:b/>
          <w:bCs/>
          <w:sz w:val="22"/>
          <w:szCs w:val="22"/>
          <w:lang w:val="fr-FR"/>
        </w:rPr>
        <w:t xml:space="preserve"> En partenariat avec des volontaires locaux [expliquez, s'il vous plaît]</w:t>
      </w:r>
    </w:p>
    <w:p w14:paraId="3E09D3FC" w14:textId="77777777" w:rsidR="001B58C7" w:rsidRDefault="001B58C7">
      <w:pPr>
        <w:spacing w:line="259" w:lineRule="auto"/>
        <w:jc w:val="both"/>
        <w:rPr>
          <w:b/>
          <w:bCs/>
          <w:sz w:val="22"/>
          <w:szCs w:val="22"/>
          <w:lang w:val="fr-FR"/>
        </w:rPr>
      </w:pPr>
    </w:p>
    <w:p w14:paraId="1A164729" w14:textId="77777777" w:rsidR="001B58C7" w:rsidRDefault="000F0E0E">
      <w:pPr>
        <w:spacing w:after="160" w:line="276" w:lineRule="auto"/>
        <w:jc w:val="both"/>
        <w:rPr>
          <w:lang w:val="fr"/>
        </w:rPr>
      </w:pPr>
      <w:r>
        <w:rPr>
          <w:rFonts w:eastAsia="DengXian"/>
          <w:kern w:val="2"/>
          <w:lang w:val="fr" w:eastAsia="zh-CN" w:bidi="ar"/>
        </w:rPr>
        <w:t>Le projet PROJUST s’appuie sur l’engagement actif de volontaires locaux, qui jouent un rôle déterminant dans la mise en œuvre des activités au niveau communautaire et dans le renforcement du lien entre les institutions et les populations.</w:t>
      </w:r>
    </w:p>
    <w:p w14:paraId="63B4B6DA" w14:textId="77777777" w:rsidR="001B58C7" w:rsidRDefault="000F0E0E">
      <w:pPr>
        <w:spacing w:after="160" w:line="276" w:lineRule="auto"/>
        <w:jc w:val="both"/>
        <w:rPr>
          <w:lang w:val="fr"/>
        </w:rPr>
      </w:pPr>
      <w:r>
        <w:rPr>
          <w:rFonts w:eastAsia="DengXian"/>
          <w:kern w:val="2"/>
          <w:lang w:val="fr" w:eastAsia="zh-CN" w:bidi="ar"/>
        </w:rPr>
        <w:t xml:space="preserve">Ces volontaires, souvent issus des structures communautaires ou des organisations locales de la société civile, sont impliqués dans des fonctions clés telles que le </w:t>
      </w:r>
      <w:r>
        <w:rPr>
          <w:rFonts w:eastAsia="DengXian"/>
          <w:b/>
          <w:bCs/>
          <w:kern w:val="2"/>
          <w:lang w:val="fr" w:eastAsia="zh-CN" w:bidi="ar"/>
        </w:rPr>
        <w:t>monitoring de protection</w:t>
      </w:r>
      <w:r>
        <w:rPr>
          <w:rFonts w:eastAsia="DengXian"/>
          <w:kern w:val="2"/>
          <w:lang w:val="fr" w:eastAsia="zh-CN" w:bidi="ar"/>
        </w:rPr>
        <w:t xml:space="preserve">, la </w:t>
      </w:r>
      <w:r>
        <w:rPr>
          <w:rFonts w:eastAsia="DengXian"/>
          <w:b/>
          <w:bCs/>
          <w:kern w:val="2"/>
          <w:lang w:val="fr" w:eastAsia="zh-CN" w:bidi="ar"/>
        </w:rPr>
        <w:t>sensibilisation des communautés</w:t>
      </w:r>
      <w:r>
        <w:rPr>
          <w:rFonts w:eastAsia="DengXian"/>
          <w:kern w:val="2"/>
          <w:lang w:val="fr" w:eastAsia="zh-CN" w:bidi="ar"/>
        </w:rPr>
        <w:t xml:space="preserve">, le </w:t>
      </w:r>
      <w:r>
        <w:rPr>
          <w:rFonts w:eastAsia="DengXian"/>
          <w:b/>
          <w:bCs/>
          <w:kern w:val="2"/>
          <w:lang w:val="fr" w:eastAsia="zh-CN" w:bidi="ar"/>
        </w:rPr>
        <w:t>référencement des cas de violations des droits humains</w:t>
      </w:r>
      <w:r>
        <w:rPr>
          <w:rFonts w:eastAsia="DengXian"/>
          <w:kern w:val="2"/>
          <w:lang w:val="fr" w:eastAsia="zh-CN" w:bidi="ar"/>
        </w:rPr>
        <w:t xml:space="preserve"> et l’appui aux mécanismes locaux de prévention et de gestion des conflits. Leur proximité avec les communautés leur permet de détecter rapidement les tensions, de relayer les informations pertinentes et de faciliter l’accès des populations aux services de justice.</w:t>
      </w:r>
    </w:p>
    <w:p w14:paraId="26D7A390" w14:textId="77777777" w:rsidR="001B58C7" w:rsidRDefault="000F0E0E">
      <w:pPr>
        <w:spacing w:after="160" w:line="276" w:lineRule="auto"/>
        <w:jc w:val="both"/>
        <w:rPr>
          <w:lang w:val="fr"/>
        </w:rPr>
      </w:pPr>
      <w:r>
        <w:rPr>
          <w:rFonts w:eastAsia="DengXian"/>
          <w:kern w:val="2"/>
          <w:lang w:val="fr" w:eastAsia="zh-CN" w:bidi="ar"/>
        </w:rPr>
        <w:t>Le projet a contribué à renforcer leurs capacités à travers des formations ciblées portant sur les droits humains, les techniques de collecte de données, le référencement des cas et les principes de protection. Cette professionnalisation progressive a amélioré la qualité des informations collectées et l’efficacité des réponses apportées.</w:t>
      </w:r>
    </w:p>
    <w:p w14:paraId="39AA8109" w14:textId="77777777" w:rsidR="001B58C7" w:rsidRDefault="000F0E0E">
      <w:pPr>
        <w:spacing w:after="160" w:line="276" w:lineRule="auto"/>
        <w:jc w:val="both"/>
        <w:rPr>
          <w:b/>
          <w:bCs/>
          <w:lang w:val="fr-FR"/>
        </w:rPr>
      </w:pPr>
      <w:r>
        <w:rPr>
          <w:rFonts w:eastAsia="DengXian"/>
          <w:kern w:val="2"/>
          <w:lang w:val="fr" w:eastAsia="zh-CN" w:bidi="ar"/>
        </w:rPr>
        <w:t xml:space="preserve">En outre, les volontaires locaux participent activement aux </w:t>
      </w:r>
      <w:r>
        <w:rPr>
          <w:rFonts w:eastAsia="DengXian"/>
          <w:b/>
          <w:bCs/>
          <w:kern w:val="2"/>
          <w:lang w:val="fr" w:eastAsia="zh-CN" w:bidi="ar"/>
        </w:rPr>
        <w:t>mécanismes de coordination et aux cadres de concertation</w:t>
      </w:r>
      <w:r>
        <w:rPr>
          <w:rFonts w:eastAsia="DengXian"/>
          <w:kern w:val="2"/>
          <w:lang w:val="fr" w:eastAsia="zh-CN" w:bidi="ar"/>
        </w:rPr>
        <w:t>, contribuant ainsi à une meilleure articulation entre les niveaux communautaire et institutionnel</w:t>
      </w:r>
      <w:r>
        <w:rPr>
          <w:rFonts w:eastAsia="DengXian"/>
          <w:kern w:val="2"/>
          <w:lang w:val="fr-FR" w:eastAsia="zh-CN" w:bidi="ar"/>
        </w:rPr>
        <w:t>.</w:t>
      </w:r>
    </w:p>
    <w:p w14:paraId="5D25192C" w14:textId="77777777" w:rsidR="001B58C7" w:rsidRDefault="000F0E0E">
      <w:pPr>
        <w:ind w:left="-810"/>
        <w:rPr>
          <w:lang w:val="fr-FR"/>
        </w:rPr>
      </w:pPr>
      <w:r>
        <w:rPr>
          <w:b/>
          <w:bCs/>
          <w:lang w:val="fr-FR"/>
        </w:rPr>
        <w:t xml:space="preserve">LNOB </w:t>
      </w:r>
      <w:proofErr w:type="spellStart"/>
      <w:r>
        <w:rPr>
          <w:b/>
          <w:bCs/>
          <w:lang w:val="fr-FR"/>
        </w:rPr>
        <w:t>Leave</w:t>
      </w:r>
      <w:proofErr w:type="spellEnd"/>
      <w:r>
        <w:rPr>
          <w:b/>
          <w:bCs/>
          <w:lang w:val="fr-FR"/>
        </w:rPr>
        <w:t xml:space="preserve"> No One </w:t>
      </w:r>
      <w:proofErr w:type="spellStart"/>
      <w:r>
        <w:rPr>
          <w:b/>
          <w:bCs/>
          <w:lang w:val="fr-FR"/>
        </w:rPr>
        <w:t>behind</w:t>
      </w:r>
      <w:proofErr w:type="spellEnd"/>
      <w:r>
        <w:rPr>
          <w:b/>
          <w:bCs/>
          <w:lang w:val="fr-FR"/>
        </w:rPr>
        <w:t xml:space="preserve"> – Ne laisser personne de côté</w:t>
      </w:r>
      <w:r>
        <w:rPr>
          <w:lang w:val="fr-FR"/>
        </w:rPr>
        <w:t> : sélectionner tous les bénéficiaires ciblés par les ressources PBF, comme en témoigne le récit ? [</w:t>
      </w:r>
      <w:proofErr w:type="gramStart"/>
      <w:r>
        <w:rPr>
          <w:lang w:val="fr-FR"/>
        </w:rPr>
        <w:t>obligatoire</w:t>
      </w:r>
      <w:proofErr w:type="gramEnd"/>
      <w:r>
        <w:rPr>
          <w:lang w:val="fr-FR"/>
        </w:rPr>
        <w:t>]</w:t>
      </w:r>
    </w:p>
    <w:p w14:paraId="7343A431" w14:textId="77777777" w:rsidR="001B58C7" w:rsidRDefault="001B58C7">
      <w:pPr>
        <w:ind w:left="-810"/>
        <w:rPr>
          <w:lang w:val="fr-FR"/>
        </w:rPr>
      </w:pPr>
    </w:p>
    <w:p w14:paraId="04FEEBA2" w14:textId="77777777" w:rsidR="001B58C7" w:rsidRDefault="000F0E0E">
      <w:pPr>
        <w:tabs>
          <w:tab w:val="left" w:pos="345"/>
        </w:tabs>
        <w:jc w:val="both"/>
        <w:rPr>
          <w:sz w:val="22"/>
          <w:szCs w:val="22"/>
          <w:lang w:val="fr-FR"/>
        </w:rPr>
      </w:pPr>
      <w:sdt>
        <w:sdtPr>
          <w:rPr>
            <w:sz w:val="22"/>
            <w:szCs w:val="22"/>
            <w:lang w:val="fr-FR"/>
          </w:rPr>
          <w:id w:val="-2099086295"/>
          <w14:checkbox>
            <w14:checked w14:val="0"/>
            <w14:checkedState w14:val="2612" w14:font="MS Gothic"/>
            <w14:uncheckedState w14:val="2610" w14:font="MS Gothic"/>
          </w14:checkbox>
        </w:sdtPr>
        <w:sdtEndPr/>
        <w:sdtContent>
          <w:r>
            <w:rPr>
              <w:rFonts w:ascii="Segoe UI Symbol" w:eastAsia="MS Gothic" w:hAnsi="Segoe UI Symbol" w:cs="Segoe UI Symbol"/>
              <w:sz w:val="22"/>
              <w:szCs w:val="22"/>
              <w:lang w:val="fr-FR"/>
            </w:rPr>
            <w:t>☐</w:t>
          </w:r>
        </w:sdtContent>
      </w:sdt>
      <w:r>
        <w:rPr>
          <w:sz w:val="22"/>
          <w:szCs w:val="22"/>
          <w:lang w:val="fr-FR"/>
        </w:rPr>
        <w:tab/>
        <w:t>Personés sans-emploi (Chômeurs)</w:t>
      </w:r>
    </w:p>
    <w:p w14:paraId="42A254D5" w14:textId="77777777" w:rsidR="001B58C7" w:rsidRDefault="000F0E0E">
      <w:pPr>
        <w:tabs>
          <w:tab w:val="left" w:pos="345"/>
        </w:tabs>
        <w:jc w:val="both"/>
        <w:rPr>
          <w:sz w:val="22"/>
          <w:szCs w:val="22"/>
          <w:lang w:val="fr-FR"/>
        </w:rPr>
      </w:pPr>
      <w:sdt>
        <w:sdtPr>
          <w:rPr>
            <w:sz w:val="22"/>
            <w:szCs w:val="22"/>
            <w:lang w:val="fr-FR"/>
          </w:rPr>
          <w:id w:val="-1997711737"/>
          <w14:checkbox>
            <w14:checked w14:val="1"/>
            <w14:checkedState w14:val="2612" w14:font="MS Gothic"/>
            <w14:uncheckedState w14:val="2610" w14:font="MS Gothic"/>
          </w14:checkbox>
        </w:sdtPr>
        <w:sdtEndPr/>
        <w:sdtContent>
          <w:r>
            <w:rPr>
              <w:rFonts w:ascii="MS Gothic" w:eastAsia="MS Gothic" w:hAnsi="MS Gothic" w:cs="Segoe UI Symbol"/>
              <w:sz w:val="22"/>
              <w:szCs w:val="22"/>
              <w:lang w:val="fr-FR"/>
            </w:rPr>
            <w:t>☒</w:t>
          </w:r>
        </w:sdtContent>
      </w:sdt>
      <w:r>
        <w:rPr>
          <w:sz w:val="22"/>
          <w:szCs w:val="22"/>
          <w:lang w:val="fr-FR"/>
        </w:rPr>
        <w:tab/>
        <w:t>Minorités (ex. race, origine ethnique, linguistique, religion, etc.)</w:t>
      </w:r>
    </w:p>
    <w:p w14:paraId="689D44F2" w14:textId="77777777" w:rsidR="001B58C7" w:rsidRDefault="000F0E0E">
      <w:pPr>
        <w:tabs>
          <w:tab w:val="left" w:pos="345"/>
        </w:tabs>
        <w:jc w:val="both"/>
        <w:rPr>
          <w:sz w:val="22"/>
          <w:szCs w:val="22"/>
          <w:lang w:val="fr-FR"/>
        </w:rPr>
      </w:pPr>
      <w:sdt>
        <w:sdtPr>
          <w:rPr>
            <w:sz w:val="22"/>
            <w:szCs w:val="22"/>
            <w:lang w:val="fr-FR"/>
          </w:rPr>
          <w:id w:val="-1392726601"/>
          <w14:checkbox>
            <w14:checked w14:val="1"/>
            <w14:checkedState w14:val="2612" w14:font="MS Gothic"/>
            <w14:uncheckedState w14:val="2610" w14:font="MS Gothic"/>
          </w14:checkbox>
        </w:sdtPr>
        <w:sdtEndPr/>
        <w:sdtContent>
          <w:r>
            <w:rPr>
              <w:rFonts w:ascii="MS Gothic" w:eastAsia="MS Gothic" w:hAnsi="MS Gothic" w:cs="Segoe UI Symbol"/>
              <w:sz w:val="22"/>
              <w:szCs w:val="22"/>
              <w:lang w:val="fr-FR"/>
            </w:rPr>
            <w:t>☒</w:t>
          </w:r>
        </w:sdtContent>
      </w:sdt>
      <w:r>
        <w:rPr>
          <w:sz w:val="22"/>
          <w:szCs w:val="22"/>
          <w:lang w:val="fr-FR"/>
        </w:rPr>
        <w:t xml:space="preserve">  Communautés autochtones</w:t>
      </w:r>
    </w:p>
    <w:p w14:paraId="746AE262" w14:textId="77777777" w:rsidR="001B58C7" w:rsidRDefault="000F0E0E">
      <w:pPr>
        <w:tabs>
          <w:tab w:val="left" w:pos="345"/>
        </w:tabs>
        <w:jc w:val="both"/>
        <w:rPr>
          <w:sz w:val="22"/>
          <w:szCs w:val="22"/>
          <w:lang w:val="fr-FR"/>
        </w:rPr>
      </w:pPr>
      <w:sdt>
        <w:sdtPr>
          <w:rPr>
            <w:sz w:val="22"/>
            <w:szCs w:val="22"/>
            <w:lang w:val="fr-FR"/>
          </w:rPr>
          <w:id w:val="-10226966"/>
          <w14:checkbox>
            <w14:checked w14:val="1"/>
            <w14:checkedState w14:val="2612" w14:font="MS Gothic"/>
            <w14:uncheckedState w14:val="2610" w14:font="MS Gothic"/>
          </w14:checkbox>
        </w:sdtPr>
        <w:sdtEndPr/>
        <w:sdtContent>
          <w:r>
            <w:rPr>
              <w:rFonts w:ascii="MS Gothic" w:eastAsia="MS Gothic" w:hAnsi="MS Gothic" w:cs="Segoe UI Symbol"/>
              <w:sz w:val="22"/>
              <w:szCs w:val="22"/>
              <w:lang w:val="fr-FR"/>
            </w:rPr>
            <w:t>☒</w:t>
          </w:r>
        </w:sdtContent>
      </w:sdt>
      <w:r>
        <w:rPr>
          <w:sz w:val="22"/>
          <w:szCs w:val="22"/>
          <w:lang w:val="fr-FR"/>
        </w:rPr>
        <w:t xml:space="preserve">  Personnes handicapées</w:t>
      </w:r>
    </w:p>
    <w:p w14:paraId="437BCE13" w14:textId="77777777" w:rsidR="001B58C7" w:rsidRDefault="000F0E0E">
      <w:pPr>
        <w:tabs>
          <w:tab w:val="left" w:pos="345"/>
        </w:tabs>
        <w:jc w:val="both"/>
        <w:rPr>
          <w:sz w:val="22"/>
          <w:szCs w:val="22"/>
          <w:lang w:val="fr-FR"/>
        </w:rPr>
      </w:pPr>
      <w:sdt>
        <w:sdtPr>
          <w:rPr>
            <w:sz w:val="22"/>
            <w:szCs w:val="22"/>
            <w:lang w:val="fr-FR"/>
          </w:rPr>
          <w:id w:val="2002771367"/>
          <w14:checkbox>
            <w14:checked w14:val="1"/>
            <w14:checkedState w14:val="2612" w14:font="MS Gothic"/>
            <w14:uncheckedState w14:val="2610" w14:font="MS Gothic"/>
          </w14:checkbox>
        </w:sdtPr>
        <w:sdtEndPr/>
        <w:sdtContent>
          <w:r>
            <w:rPr>
              <w:rFonts w:ascii="MS Gothic" w:eastAsia="MS Gothic" w:hAnsi="MS Gothic" w:cs="Segoe UI Symbol"/>
              <w:sz w:val="22"/>
              <w:szCs w:val="22"/>
              <w:lang w:val="fr-FR"/>
            </w:rPr>
            <w:t>☒</w:t>
          </w:r>
        </w:sdtContent>
      </w:sdt>
      <w:r>
        <w:rPr>
          <w:sz w:val="22"/>
          <w:szCs w:val="22"/>
          <w:lang w:val="fr-FR"/>
        </w:rPr>
        <w:t xml:space="preserve">  Personnes touchées par la violence (y compris VBG)</w:t>
      </w:r>
    </w:p>
    <w:p w14:paraId="7F9D8E22" w14:textId="77777777" w:rsidR="001B58C7" w:rsidRDefault="000F0E0E">
      <w:pPr>
        <w:tabs>
          <w:tab w:val="left" w:pos="345"/>
        </w:tabs>
        <w:jc w:val="both"/>
        <w:rPr>
          <w:sz w:val="22"/>
          <w:szCs w:val="22"/>
          <w:lang w:val="fr-FR"/>
        </w:rPr>
      </w:pPr>
      <w:sdt>
        <w:sdtPr>
          <w:rPr>
            <w:sz w:val="22"/>
            <w:szCs w:val="22"/>
            <w:lang w:val="fr-FR"/>
          </w:rPr>
          <w:id w:val="609787691"/>
          <w14:checkbox>
            <w14:checked w14:val="1"/>
            <w14:checkedState w14:val="2612" w14:font="MS Gothic"/>
            <w14:uncheckedState w14:val="2610" w14:font="MS Gothic"/>
          </w14:checkbox>
        </w:sdtPr>
        <w:sdtEndPr/>
        <w:sdtContent>
          <w:r>
            <w:rPr>
              <w:rFonts w:ascii="MS Gothic" w:eastAsia="MS Gothic" w:hAnsi="MS Gothic" w:cs="Segoe UI Symbol"/>
              <w:sz w:val="22"/>
              <w:szCs w:val="22"/>
              <w:lang w:val="fr-FR"/>
            </w:rPr>
            <w:t>☒</w:t>
          </w:r>
        </w:sdtContent>
      </w:sdt>
      <w:r>
        <w:rPr>
          <w:sz w:val="22"/>
          <w:szCs w:val="22"/>
          <w:lang w:val="fr-FR"/>
        </w:rPr>
        <w:tab/>
        <w:t>Femmes</w:t>
      </w:r>
    </w:p>
    <w:p w14:paraId="5A62A962" w14:textId="77777777" w:rsidR="001B58C7" w:rsidRDefault="000F0E0E">
      <w:pPr>
        <w:tabs>
          <w:tab w:val="left" w:pos="345"/>
        </w:tabs>
        <w:jc w:val="both"/>
        <w:rPr>
          <w:sz w:val="22"/>
          <w:szCs w:val="22"/>
          <w:lang w:val="fr-FR"/>
        </w:rPr>
      </w:pPr>
      <w:sdt>
        <w:sdtPr>
          <w:rPr>
            <w:sz w:val="22"/>
            <w:szCs w:val="22"/>
            <w:lang w:val="fr-FR"/>
          </w:rPr>
          <w:id w:val="-1517768481"/>
          <w14:checkbox>
            <w14:checked w14:val="1"/>
            <w14:checkedState w14:val="2612" w14:font="MS Gothic"/>
            <w14:uncheckedState w14:val="2610" w14:font="MS Gothic"/>
          </w14:checkbox>
        </w:sdtPr>
        <w:sdtEndPr/>
        <w:sdtContent>
          <w:r>
            <w:rPr>
              <w:rFonts w:ascii="MS Gothic" w:eastAsia="MS Gothic" w:hAnsi="MS Gothic" w:cs="Segoe UI Symbol"/>
              <w:sz w:val="22"/>
              <w:szCs w:val="22"/>
              <w:lang w:val="fr-FR"/>
            </w:rPr>
            <w:t>☒</w:t>
          </w:r>
        </w:sdtContent>
      </w:sdt>
      <w:r>
        <w:rPr>
          <w:sz w:val="22"/>
          <w:szCs w:val="22"/>
          <w:lang w:val="fr-FR"/>
        </w:rPr>
        <w:tab/>
        <w:t xml:space="preserve">Jeunes </w:t>
      </w:r>
    </w:p>
    <w:p w14:paraId="1608F856" w14:textId="77777777" w:rsidR="001B58C7" w:rsidRDefault="000F0E0E">
      <w:pPr>
        <w:tabs>
          <w:tab w:val="left" w:pos="345"/>
        </w:tabs>
        <w:jc w:val="both"/>
        <w:rPr>
          <w:sz w:val="22"/>
          <w:szCs w:val="22"/>
          <w:lang w:val="fr-FR"/>
        </w:rPr>
      </w:pPr>
      <w:sdt>
        <w:sdtPr>
          <w:rPr>
            <w:sz w:val="22"/>
            <w:szCs w:val="22"/>
            <w:lang w:val="fr-FR"/>
          </w:rPr>
          <w:id w:val="-1973812124"/>
          <w14:checkbox>
            <w14:checked w14:val="0"/>
            <w14:checkedState w14:val="2612" w14:font="MS Gothic"/>
            <w14:uncheckedState w14:val="2610" w14:font="MS Gothic"/>
          </w14:checkbox>
        </w:sdtPr>
        <w:sdtEndPr/>
        <w:sdtContent>
          <w:r>
            <w:rPr>
              <w:rFonts w:ascii="Segoe UI Symbol" w:eastAsia="MS Gothic" w:hAnsi="Segoe UI Symbol" w:cs="Segoe UI Symbol"/>
              <w:sz w:val="22"/>
              <w:szCs w:val="22"/>
              <w:lang w:val="fr-FR"/>
            </w:rPr>
            <w:t>☐</w:t>
          </w:r>
        </w:sdtContent>
      </w:sdt>
      <w:r>
        <w:rPr>
          <w:sz w:val="22"/>
          <w:szCs w:val="22"/>
          <w:lang w:val="fr-FR"/>
        </w:rPr>
        <w:tab/>
        <w:t xml:space="preserve">Enfants  </w:t>
      </w:r>
    </w:p>
    <w:p w14:paraId="712BA5A6" w14:textId="77777777" w:rsidR="001B58C7" w:rsidRDefault="000F0E0E">
      <w:pPr>
        <w:tabs>
          <w:tab w:val="left" w:pos="345"/>
        </w:tabs>
        <w:jc w:val="both"/>
        <w:rPr>
          <w:rStyle w:val="texttitle21rf4"/>
          <w:sz w:val="22"/>
          <w:szCs w:val="22"/>
          <w:lang w:val="fr-FR"/>
        </w:rPr>
      </w:pPr>
      <w:sdt>
        <w:sdtPr>
          <w:rPr>
            <w:sz w:val="22"/>
            <w:szCs w:val="22"/>
            <w:lang w:val="fr-FR"/>
          </w:rPr>
          <w:id w:val="-1184512626"/>
          <w14:checkbox>
            <w14:checked w14:val="0"/>
            <w14:checkedState w14:val="2612" w14:font="MS Gothic"/>
            <w14:uncheckedState w14:val="2610" w14:font="MS Gothic"/>
          </w14:checkbox>
        </w:sdtPr>
        <w:sdtEndPr/>
        <w:sdtContent>
          <w:r>
            <w:rPr>
              <w:rFonts w:ascii="Segoe UI Symbol" w:eastAsia="MS Gothic" w:hAnsi="Segoe UI Symbol" w:cs="Segoe UI Symbol"/>
              <w:sz w:val="22"/>
              <w:szCs w:val="22"/>
              <w:lang w:val="fr-FR"/>
            </w:rPr>
            <w:t>☐</w:t>
          </w:r>
        </w:sdtContent>
      </w:sdt>
      <w:r>
        <w:rPr>
          <w:sz w:val="22"/>
          <w:szCs w:val="22"/>
          <w:lang w:val="fr-FR"/>
        </w:rPr>
        <w:tab/>
        <w:t>Minorités liées à l'orientation sexuelle et/ou à l'identité et à l'expression de genre</w:t>
      </w:r>
    </w:p>
    <w:p w14:paraId="327ECA2A" w14:textId="77777777" w:rsidR="001B58C7" w:rsidRDefault="000F0E0E">
      <w:pPr>
        <w:tabs>
          <w:tab w:val="left" w:pos="375"/>
        </w:tabs>
        <w:jc w:val="both"/>
        <w:rPr>
          <w:sz w:val="22"/>
          <w:szCs w:val="22"/>
          <w:lang w:val="fr-FR"/>
        </w:rPr>
      </w:pPr>
      <w:sdt>
        <w:sdtPr>
          <w:rPr>
            <w:rFonts w:eastAsia="MS Gothic"/>
            <w:sz w:val="22"/>
            <w:szCs w:val="22"/>
            <w:lang w:val="fr-FR"/>
          </w:rPr>
          <w:id w:val="-2041117055"/>
          <w14:checkbox>
            <w14:checked w14:val="0"/>
            <w14:checkedState w14:val="2612" w14:font="MS Gothic"/>
            <w14:uncheckedState w14:val="2610" w14:font="MS Gothic"/>
          </w14:checkbox>
        </w:sdtPr>
        <w:sdtEndPr/>
        <w:sdtContent>
          <w:r>
            <w:rPr>
              <w:rFonts w:ascii="Segoe UI Symbol" w:eastAsia="MS Gothic" w:hAnsi="Segoe UI Symbol" w:cs="Segoe UI Symbol"/>
              <w:sz w:val="22"/>
              <w:szCs w:val="22"/>
              <w:lang w:val="fr-FR"/>
            </w:rPr>
            <w:t>☐</w:t>
          </w:r>
        </w:sdtContent>
      </w:sdt>
      <w:r>
        <w:rPr>
          <w:rFonts w:eastAsia="MS Gothic"/>
          <w:sz w:val="22"/>
          <w:szCs w:val="22"/>
          <w:lang w:val="fr-FR"/>
        </w:rPr>
        <w:t xml:space="preserve">   </w:t>
      </w:r>
      <w:r>
        <w:rPr>
          <w:sz w:val="22"/>
          <w:szCs w:val="22"/>
          <w:lang w:val="fr-FR"/>
        </w:rPr>
        <w:t>Personnes vivant dans et autour des zones frontalières</w:t>
      </w:r>
    </w:p>
    <w:p w14:paraId="451E86A6" w14:textId="77777777" w:rsidR="001B58C7" w:rsidRDefault="000F0E0E">
      <w:pPr>
        <w:tabs>
          <w:tab w:val="left" w:pos="375"/>
        </w:tabs>
        <w:jc w:val="both"/>
        <w:rPr>
          <w:sz w:val="22"/>
          <w:szCs w:val="22"/>
          <w:lang w:val="fr-FR"/>
        </w:rPr>
      </w:pPr>
      <w:sdt>
        <w:sdtPr>
          <w:rPr>
            <w:sz w:val="22"/>
            <w:szCs w:val="22"/>
            <w:lang w:val="fr-FR"/>
          </w:rPr>
          <w:id w:val="833184856"/>
          <w14:checkbox>
            <w14:checked w14:val="0"/>
            <w14:checkedState w14:val="2612" w14:font="MS Gothic"/>
            <w14:uncheckedState w14:val="2610" w14:font="MS Gothic"/>
          </w14:checkbox>
        </w:sdtPr>
        <w:sdtEndPr/>
        <w:sdtContent>
          <w:r>
            <w:rPr>
              <w:rFonts w:ascii="Segoe UI Symbol" w:eastAsia="MS Gothic" w:hAnsi="Segoe UI Symbol" w:cs="Segoe UI Symbol"/>
              <w:sz w:val="22"/>
              <w:szCs w:val="22"/>
              <w:lang w:val="fr-FR"/>
            </w:rPr>
            <w:t>☐</w:t>
          </w:r>
        </w:sdtContent>
      </w:sdt>
      <w:r>
        <w:rPr>
          <w:sz w:val="22"/>
          <w:szCs w:val="22"/>
          <w:lang w:val="fr-FR"/>
        </w:rPr>
        <w:tab/>
        <w:t>Personnes touchées par des catastrophes naturelles</w:t>
      </w:r>
    </w:p>
    <w:p w14:paraId="3F205C88" w14:textId="77777777" w:rsidR="001B58C7" w:rsidRDefault="000F0E0E">
      <w:pPr>
        <w:tabs>
          <w:tab w:val="left" w:pos="375"/>
        </w:tabs>
        <w:jc w:val="both"/>
        <w:rPr>
          <w:sz w:val="22"/>
          <w:szCs w:val="22"/>
          <w:lang w:val="fr-FR"/>
        </w:rPr>
      </w:pPr>
      <w:sdt>
        <w:sdtPr>
          <w:rPr>
            <w:sz w:val="22"/>
            <w:szCs w:val="22"/>
            <w:lang w:val="fr-FR"/>
          </w:rPr>
          <w:id w:val="1383288625"/>
          <w14:checkbox>
            <w14:checked w14:val="0"/>
            <w14:checkedState w14:val="2612" w14:font="MS Gothic"/>
            <w14:uncheckedState w14:val="2610" w14:font="MS Gothic"/>
          </w14:checkbox>
        </w:sdtPr>
        <w:sdtEndPr/>
        <w:sdtContent>
          <w:r>
            <w:rPr>
              <w:rFonts w:ascii="Segoe UI Symbol" w:eastAsia="MS Gothic" w:hAnsi="Segoe UI Symbol" w:cs="Segoe UI Symbol"/>
              <w:sz w:val="22"/>
              <w:szCs w:val="22"/>
              <w:lang w:val="fr-FR"/>
            </w:rPr>
            <w:t>☐</w:t>
          </w:r>
        </w:sdtContent>
      </w:sdt>
      <w:r>
        <w:rPr>
          <w:sz w:val="22"/>
          <w:szCs w:val="22"/>
          <w:lang w:val="fr-FR"/>
        </w:rPr>
        <w:tab/>
        <w:t>Personnes affectées par les conflits armés</w:t>
      </w:r>
    </w:p>
    <w:p w14:paraId="578A9928" w14:textId="77777777" w:rsidR="001B58C7" w:rsidRDefault="000F0E0E">
      <w:pPr>
        <w:tabs>
          <w:tab w:val="left" w:pos="375"/>
        </w:tabs>
        <w:jc w:val="both"/>
        <w:rPr>
          <w:sz w:val="22"/>
          <w:szCs w:val="22"/>
          <w:lang w:val="fr-FR"/>
        </w:rPr>
      </w:pPr>
      <w:sdt>
        <w:sdtPr>
          <w:rPr>
            <w:sz w:val="22"/>
            <w:szCs w:val="22"/>
            <w:lang w:val="fr-FR"/>
          </w:rPr>
          <w:id w:val="-929422486"/>
          <w14:checkbox>
            <w14:checked w14:val="1"/>
            <w14:checkedState w14:val="2612" w14:font="MS Gothic"/>
            <w14:uncheckedState w14:val="2610" w14:font="MS Gothic"/>
          </w14:checkbox>
        </w:sdtPr>
        <w:sdtEndPr/>
        <w:sdtContent>
          <w:r>
            <w:rPr>
              <w:rFonts w:ascii="MS Gothic" w:eastAsia="MS Gothic" w:hAnsi="MS Gothic" w:cs="Segoe UI Symbol"/>
              <w:sz w:val="22"/>
              <w:szCs w:val="22"/>
              <w:lang w:val="fr-FR"/>
            </w:rPr>
            <w:t>☒</w:t>
          </w:r>
        </w:sdtContent>
      </w:sdt>
      <w:r>
        <w:rPr>
          <w:sz w:val="22"/>
          <w:szCs w:val="22"/>
          <w:lang w:val="fr-FR"/>
        </w:rPr>
        <w:tab/>
        <w:t>Personnes déplacées internes, réfugiés ou migrants</w:t>
      </w:r>
    </w:p>
    <w:p w14:paraId="7B2285DE" w14:textId="77777777" w:rsidR="001B58C7" w:rsidRDefault="001B58C7">
      <w:pPr>
        <w:ind w:left="-810"/>
        <w:rPr>
          <w:lang w:val="fr-FR"/>
        </w:rPr>
      </w:pPr>
    </w:p>
    <w:p w14:paraId="76769CE4" w14:textId="77777777" w:rsidR="001B58C7" w:rsidRDefault="000F0E0E">
      <w:pPr>
        <w:rPr>
          <w:b/>
          <w:u w:val="single"/>
          <w:lang w:val="fr-FR"/>
        </w:rPr>
      </w:pPr>
      <w:r>
        <w:rPr>
          <w:b/>
          <w:u w:val="single"/>
          <w:lang w:val="fr-FR"/>
        </w:rPr>
        <w:t>PARTIE IV : SUIVI, ÉVALUATION ET CONFORMITÉ</w:t>
      </w:r>
    </w:p>
    <w:p w14:paraId="3F6DD1C9" w14:textId="77777777" w:rsidR="001B58C7" w:rsidRDefault="001B58C7">
      <w:pPr>
        <w:rPr>
          <w:lang w:val="fr-FR"/>
        </w:rPr>
      </w:pPr>
    </w:p>
    <w:tbl>
      <w:tblPr>
        <w:tblW w:w="9563"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gridCol w:w="5153"/>
      </w:tblGrid>
      <w:tr w:rsidR="001B58C7" w:rsidRPr="00ED3A8A" w14:paraId="0525196C" w14:textId="77777777">
        <w:trPr>
          <w:trHeight w:val="300"/>
        </w:trPr>
        <w:tc>
          <w:tcPr>
            <w:tcW w:w="4410" w:type="dxa"/>
          </w:tcPr>
          <w:p w14:paraId="7315E8B4" w14:textId="77777777" w:rsidR="001B58C7" w:rsidRDefault="000F0E0E">
            <w:pPr>
              <w:spacing w:after="160" w:line="276" w:lineRule="auto"/>
              <w:rPr>
                <w:kern w:val="2"/>
                <w:lang w:val="fr-FR"/>
              </w:rPr>
            </w:pPr>
            <w:r>
              <w:rPr>
                <w:b/>
                <w:bCs/>
                <w:kern w:val="2"/>
                <w:u w:val="single"/>
                <w:lang w:val="fr-FR"/>
              </w:rPr>
              <w:t>Suivi</w:t>
            </w:r>
            <w:r>
              <w:rPr>
                <w:b/>
                <w:bCs/>
                <w:kern w:val="2"/>
                <w:lang w:val="fr-FR"/>
              </w:rPr>
              <w:t xml:space="preserve"> : </w:t>
            </w:r>
            <w:r>
              <w:rPr>
                <w:kern w:val="2"/>
                <w:lang w:val="fr-FR"/>
              </w:rPr>
              <w:t xml:space="preserve">Indiquez les activités de suivi conduites dans la période du rapport </w:t>
            </w:r>
            <w:r>
              <w:rPr>
                <w:i/>
                <w:iCs/>
                <w:kern w:val="2"/>
                <w:lang w:val="fr-FR"/>
              </w:rPr>
              <w:t>(3000 caractères)</w:t>
            </w:r>
            <w:r>
              <w:rPr>
                <w:kern w:val="2"/>
                <w:lang w:val="fr-FR"/>
              </w:rPr>
              <w:t xml:space="preserve"> :</w:t>
            </w:r>
          </w:p>
          <w:p w14:paraId="2A8D35AE" w14:textId="77777777" w:rsidR="001B58C7" w:rsidRDefault="000F0E0E">
            <w:pPr>
              <w:pStyle w:val="NormalWeb"/>
              <w:spacing w:after="160" w:line="300" w:lineRule="atLeast"/>
              <w:jc w:val="both"/>
              <w:rPr>
                <w:kern w:val="2"/>
                <w:lang w:val="fr-FR"/>
              </w:rPr>
            </w:pPr>
            <w:r>
              <w:rPr>
                <w:rFonts w:eastAsia="Segoe UI"/>
                <w:kern w:val="2"/>
                <w:lang w:val="fr-FR"/>
              </w:rPr>
              <w:t>Au cours de la période sous revue, un ensemble d’activités de suivi a été mis en œuvre afin d’assurer une exécution efficace du projet, de mesurer les progrès réalisés et d’identifier les ajustements nécessaires en temps opportun.</w:t>
            </w:r>
          </w:p>
          <w:p w14:paraId="06512A75" w14:textId="77777777" w:rsidR="001B58C7" w:rsidRDefault="000F0E0E">
            <w:pPr>
              <w:pStyle w:val="NormalWeb"/>
              <w:spacing w:after="160" w:line="300" w:lineRule="atLeast"/>
              <w:jc w:val="both"/>
              <w:rPr>
                <w:rFonts w:eastAsia="Segoe UI"/>
                <w:kern w:val="2"/>
                <w:lang w:val="fr-FR"/>
              </w:rPr>
            </w:pPr>
            <w:r>
              <w:rPr>
                <w:rFonts w:eastAsia="Segoe UI"/>
                <w:kern w:val="2"/>
                <w:lang w:val="fr-FR"/>
              </w:rPr>
              <w:t xml:space="preserve">Des missions régulières de suivi terrain ont été organisées dans les zones d’intervention du projet, permettant de vérifier l’état d’avancement des activités, d’évaluer la participation des bénéficiaires et de collecter des données qualitatives et quantitatives. </w:t>
            </w:r>
          </w:p>
          <w:p w14:paraId="72D68099" w14:textId="77777777" w:rsidR="001B58C7" w:rsidRDefault="000F0E0E">
            <w:pPr>
              <w:pStyle w:val="NormalWeb"/>
              <w:spacing w:after="160" w:line="300" w:lineRule="atLeast"/>
              <w:jc w:val="both"/>
              <w:rPr>
                <w:kern w:val="2"/>
                <w:lang w:val="fr-FR"/>
              </w:rPr>
            </w:pPr>
            <w:r>
              <w:rPr>
                <w:rFonts w:eastAsia="Segoe UI"/>
                <w:kern w:val="2"/>
                <w:lang w:val="fr-FR"/>
              </w:rPr>
              <w:t xml:space="preserve">Du 15 au 23 mai, l’équipe projet a appuyé une mission de </w:t>
            </w:r>
            <w:proofErr w:type="gramStart"/>
            <w:r>
              <w:rPr>
                <w:rFonts w:eastAsia="Segoe UI"/>
                <w:kern w:val="2"/>
                <w:lang w:val="fr-FR"/>
              </w:rPr>
              <w:t>suivi  du</w:t>
            </w:r>
            <w:proofErr w:type="gramEnd"/>
            <w:r>
              <w:rPr>
                <w:rFonts w:eastAsia="Segoe UI"/>
                <w:kern w:val="2"/>
                <w:lang w:val="fr-FR"/>
              </w:rPr>
              <w:t xml:space="preserve"> Secrétariat Conjoint du Fonds pour la Consolidation de la Paix (S</w:t>
            </w:r>
            <w:r>
              <w:rPr>
                <w:rFonts w:eastAsia="Segoe UI"/>
                <w:kern w:val="2"/>
                <w:lang w:val="fr-FR"/>
              </w:rPr>
              <w:noBreakHyphen/>
              <w:t xml:space="preserve">PBF) et des partenaires gouvernementaux (min justice, min droits humains et P-DDRCS) au Kasai et au </w:t>
            </w:r>
            <w:proofErr w:type="spellStart"/>
            <w:r>
              <w:rPr>
                <w:rFonts w:eastAsia="Segoe UI"/>
                <w:kern w:val="2"/>
                <w:lang w:val="fr-FR"/>
              </w:rPr>
              <w:t>Kasain</w:t>
            </w:r>
            <w:proofErr w:type="spellEnd"/>
            <w:r>
              <w:rPr>
                <w:rFonts w:eastAsia="Segoe UI"/>
                <w:kern w:val="2"/>
                <w:lang w:val="fr-FR"/>
              </w:rPr>
              <w:t xml:space="preserve"> Central. Au Kasai Central, la mission a pu aller jusqu’au pont Lukula et au village </w:t>
            </w:r>
            <w:proofErr w:type="spellStart"/>
            <w:r>
              <w:rPr>
                <w:rFonts w:eastAsia="Segoe UI"/>
                <w:kern w:val="2"/>
                <w:lang w:val="fr-FR"/>
              </w:rPr>
              <w:t>Kamuina</w:t>
            </w:r>
            <w:proofErr w:type="spellEnd"/>
            <w:r>
              <w:rPr>
                <w:rFonts w:eastAsia="Segoe UI"/>
                <w:kern w:val="2"/>
                <w:lang w:val="fr-FR"/>
              </w:rPr>
              <w:t xml:space="preserve"> </w:t>
            </w:r>
            <w:proofErr w:type="spellStart"/>
            <w:r>
              <w:rPr>
                <w:rFonts w:eastAsia="Segoe UI"/>
                <w:kern w:val="2"/>
                <w:lang w:val="fr-FR"/>
              </w:rPr>
              <w:t>Nsapu</w:t>
            </w:r>
            <w:proofErr w:type="spellEnd"/>
            <w:r>
              <w:rPr>
                <w:rFonts w:eastAsia="Segoe UI"/>
                <w:kern w:val="2"/>
                <w:lang w:val="fr-FR"/>
              </w:rPr>
              <w:t xml:space="preserve">, dans le territoire de </w:t>
            </w:r>
            <w:proofErr w:type="spellStart"/>
            <w:r>
              <w:rPr>
                <w:rFonts w:eastAsia="Segoe UI"/>
                <w:kern w:val="2"/>
                <w:lang w:val="fr-FR"/>
              </w:rPr>
              <w:t>Dibaya</w:t>
            </w:r>
            <w:proofErr w:type="spellEnd"/>
            <w:r>
              <w:rPr>
                <w:rFonts w:eastAsia="Segoe UI"/>
                <w:kern w:val="2"/>
                <w:lang w:val="fr-FR"/>
              </w:rPr>
              <w:t xml:space="preserve"> au Kasaï Central. Ces descentes ont permis d’observer directement les réalités locales, d’apprécier l’impact des interventions et de recueillir des informations utiles à l’amélioration des actions en c</w:t>
            </w:r>
            <w:r>
              <w:rPr>
                <w:rFonts w:eastAsia="Segoe UI"/>
                <w:kern w:val="2"/>
                <w:lang w:val="fr-FR"/>
              </w:rPr>
              <w:t>ours. Globalement, la mission a permis de mesurer les progrès réalisés vers l’atteinte des résultats du projet à travers la collecte de données de terrain, des</w:t>
            </w:r>
            <w:r>
              <w:rPr>
                <w:rFonts w:eastAsia="Segoe UI"/>
                <w:color w:val="0000FF"/>
                <w:kern w:val="2"/>
                <w:lang w:val="fr-FR"/>
              </w:rPr>
              <w:t xml:space="preserve"> </w:t>
            </w:r>
            <w:r>
              <w:rPr>
                <w:rFonts w:eastAsia="Segoe UI"/>
                <w:kern w:val="2"/>
                <w:lang w:val="fr-FR"/>
              </w:rPr>
              <w:t xml:space="preserve">échanges avec les parties prenantes et l’analyse des performances. Elle a également servi de cadre pour vérifier et capitaliser les acquis des projets antérieurement financés par le </w:t>
            </w:r>
            <w:r>
              <w:rPr>
                <w:rFonts w:eastAsia="Segoe UI"/>
                <w:kern w:val="2"/>
                <w:lang w:val="fr-FR"/>
              </w:rPr>
              <w:lastRenderedPageBreak/>
              <w:t>PBF, notamment ceux liés à la cohésion sociale, à la police de proximité, ainsi qu’aux projets PAJURR Kasaï Central et SSKAT.</w:t>
            </w:r>
          </w:p>
          <w:p w14:paraId="2A107355" w14:textId="77777777" w:rsidR="001B58C7" w:rsidRDefault="000F0E0E">
            <w:pPr>
              <w:pStyle w:val="NormalWeb"/>
              <w:spacing w:after="160" w:line="300" w:lineRule="atLeast"/>
              <w:jc w:val="both"/>
              <w:rPr>
                <w:kern w:val="2"/>
                <w:lang w:val="fr-FR"/>
              </w:rPr>
            </w:pPr>
            <w:r>
              <w:rPr>
                <w:rFonts w:eastAsia="Segoe UI"/>
                <w:kern w:val="2"/>
                <w:lang w:val="fr-FR"/>
              </w:rPr>
              <w:t>Par ailleurs, des réunions régulières de suivi du S</w:t>
            </w:r>
            <w:r>
              <w:rPr>
                <w:rFonts w:eastAsia="Segoe UI"/>
                <w:kern w:val="2"/>
                <w:lang w:val="fr-FR"/>
              </w:rPr>
              <w:noBreakHyphen/>
              <w:t>PBF, communément appelées « cliniques », ont été organisées avec les agences d’exécution du projet. Ces cadres techniques ont permis d’analyser l’état d’avancement des activités, d’identifier les défis rencontrés et de proposer des mesures correctives adaptées. Elles ont également favorisé un suivi rigoureux des indicateurs de performance et une meilleure coordination entre les acteurs impliqués.</w:t>
            </w:r>
          </w:p>
          <w:p w14:paraId="54254032" w14:textId="77777777" w:rsidR="001B58C7" w:rsidRDefault="000F0E0E">
            <w:pPr>
              <w:pStyle w:val="NormalWeb"/>
              <w:spacing w:after="160" w:line="300" w:lineRule="atLeast"/>
              <w:jc w:val="both"/>
              <w:rPr>
                <w:kern w:val="2"/>
                <w:lang w:val="fr-FR"/>
              </w:rPr>
            </w:pPr>
            <w:r>
              <w:rPr>
                <w:rFonts w:eastAsia="Segoe UI"/>
                <w:kern w:val="2"/>
                <w:lang w:val="fr-FR"/>
              </w:rPr>
              <w:t>Enfin, un dispositif global de suivi-évaluation a été assuré à travers la collecte continue d’informations, la production de rapports et la tenue de réunions de coordination. Ce mécanisme a contribué à renforcer la transparence, l’efficacité et l’efficience dans la mise en œuvre du projet, tout en garantissant une adaptation constante aux réalités du terrain.</w:t>
            </w:r>
          </w:p>
          <w:p w14:paraId="341CA079" w14:textId="77777777" w:rsidR="001B58C7" w:rsidRDefault="000F0E0E">
            <w:pPr>
              <w:pStyle w:val="NormalWeb"/>
              <w:spacing w:after="160" w:line="300" w:lineRule="atLeast"/>
              <w:jc w:val="both"/>
              <w:rPr>
                <w:kern w:val="2"/>
                <w:lang w:val="fr-FR"/>
              </w:rPr>
            </w:pPr>
            <w:r>
              <w:rPr>
                <w:rFonts w:eastAsia="Segoe UI"/>
                <w:kern w:val="2"/>
                <w:lang w:val="fr-FR"/>
              </w:rPr>
              <w:t>Dans l’ensemble, ces activités de suivi ont permis de consolider les acquis, d’améliorer la qualité des interventions et d’assurer une progression cohérente vers les objectifs fixés.</w:t>
            </w:r>
          </w:p>
          <w:p w14:paraId="4945016C" w14:textId="77777777" w:rsidR="001B58C7" w:rsidRDefault="001B58C7">
            <w:pPr>
              <w:spacing w:after="160" w:line="276" w:lineRule="auto"/>
              <w:rPr>
                <w:kern w:val="2"/>
                <w:lang w:val="fr-FR"/>
              </w:rPr>
            </w:pPr>
          </w:p>
          <w:p w14:paraId="7754604D" w14:textId="77777777" w:rsidR="001B58C7" w:rsidRDefault="000F0E0E">
            <w:pPr>
              <w:spacing w:after="160" w:line="276" w:lineRule="auto"/>
              <w:rPr>
                <w:i/>
                <w:kern w:val="2"/>
                <w:lang w:val="fr-FR"/>
              </w:rPr>
            </w:pPr>
            <w:r>
              <w:rPr>
                <w:i/>
                <w:kern w:val="2"/>
                <w:lang w:val="fr-FR"/>
              </w:rPr>
              <w:t xml:space="preserve"> </w:t>
            </w:r>
          </w:p>
          <w:p w14:paraId="7AFF6287" w14:textId="77777777" w:rsidR="001B58C7" w:rsidRDefault="001B58C7">
            <w:pPr>
              <w:spacing w:after="160" w:line="276" w:lineRule="auto"/>
              <w:rPr>
                <w:kern w:val="2"/>
                <w:lang w:val="fr-FR"/>
              </w:rPr>
            </w:pPr>
          </w:p>
        </w:tc>
        <w:tc>
          <w:tcPr>
            <w:tcW w:w="5153" w:type="dxa"/>
          </w:tcPr>
          <w:p w14:paraId="3273DF49" w14:textId="77777777" w:rsidR="001B58C7" w:rsidRDefault="000F0E0E">
            <w:pPr>
              <w:spacing w:after="160" w:line="276" w:lineRule="auto"/>
              <w:rPr>
                <w:kern w:val="2"/>
                <w:lang w:val="fr-FR"/>
              </w:rPr>
            </w:pPr>
            <w:r>
              <w:rPr>
                <w:kern w:val="2"/>
                <w:lang w:val="fr-FR"/>
              </w:rPr>
              <w:lastRenderedPageBreak/>
              <w:t xml:space="preserve">Est-ce que les indicateurs des résultats ont des bases de référence ? </w:t>
            </w:r>
            <w:r>
              <w:rPr>
                <w:b/>
                <w:bCs/>
                <w:kern w:val="2"/>
                <w:lang w:val="fr-FR"/>
              </w:rPr>
              <w:t>OUI.</w:t>
            </w:r>
          </w:p>
          <w:p w14:paraId="2249D24E" w14:textId="77777777" w:rsidR="001B58C7" w:rsidRDefault="000F0E0E">
            <w:pPr>
              <w:spacing w:after="160" w:line="276" w:lineRule="auto"/>
              <w:rPr>
                <w:kern w:val="2"/>
                <w:highlight w:val="yellow"/>
                <w:lang w:val="fr-FR"/>
              </w:rPr>
            </w:pPr>
            <w:r>
              <w:rPr>
                <w:kern w:val="2"/>
                <w:lang w:val="fr-FR"/>
              </w:rPr>
              <w:t xml:space="preserve">Dans l’affirmative, veuillez fournir une brève description </w:t>
            </w:r>
            <w:r>
              <w:rPr>
                <w:i/>
                <w:iCs/>
                <w:kern w:val="2"/>
                <w:lang w:val="fr-FR"/>
              </w:rPr>
              <w:t>(3000 caractères)</w:t>
            </w:r>
            <w:r>
              <w:rPr>
                <w:kern w:val="2"/>
                <w:lang w:val="fr-FR"/>
              </w:rPr>
              <w:t xml:space="preserve"> :</w:t>
            </w:r>
          </w:p>
          <w:p w14:paraId="0515CB90" w14:textId="77777777" w:rsidR="001B58C7" w:rsidRDefault="000F0E0E">
            <w:pPr>
              <w:spacing w:after="160" w:line="276" w:lineRule="auto"/>
              <w:rPr>
                <w:kern w:val="2"/>
                <w:lang w:val="fr-FR"/>
              </w:rPr>
            </w:pPr>
            <w:r>
              <w:rPr>
                <w:kern w:val="2"/>
                <w:lang w:val="fr-FR"/>
              </w:rPr>
              <w:t xml:space="preserve">Si ce n’est pas le cas, expliquez pourquoi et quand ils seront disponibles </w:t>
            </w:r>
            <w:r>
              <w:rPr>
                <w:i/>
                <w:iCs/>
                <w:kern w:val="2"/>
                <w:lang w:val="fr-FR"/>
              </w:rPr>
              <w:t>(3000 caractères)</w:t>
            </w:r>
            <w:r>
              <w:rPr>
                <w:kern w:val="2"/>
                <w:lang w:val="fr-FR"/>
              </w:rPr>
              <w:t xml:space="preserve"> :</w:t>
            </w:r>
          </w:p>
          <w:p w14:paraId="302F02E5" w14:textId="77777777" w:rsidR="001B58C7" w:rsidRDefault="000F0E0E">
            <w:pPr>
              <w:spacing w:after="160" w:line="276" w:lineRule="auto"/>
              <w:rPr>
                <w:b/>
                <w:bCs/>
                <w:kern w:val="2"/>
                <w:lang w:val="fr-FR"/>
              </w:rPr>
            </w:pPr>
            <w:r>
              <w:rPr>
                <w:b/>
                <w:bCs/>
                <w:kern w:val="2"/>
                <w:lang w:val="fr-FR"/>
              </w:rPr>
              <w:t xml:space="preserve">Précisez quelles sources de preuves ont été utilisées pour rendre compte des indicateurs (et sont disponibles sur demande) </w:t>
            </w:r>
            <w:r>
              <w:rPr>
                <w:b/>
                <w:bCs/>
                <w:i/>
                <w:iCs/>
                <w:kern w:val="2"/>
                <w:lang w:val="fr-FR"/>
              </w:rPr>
              <w:t>(3000 caractères)</w:t>
            </w:r>
            <w:r>
              <w:rPr>
                <w:b/>
                <w:bCs/>
                <w:kern w:val="2"/>
                <w:lang w:val="fr-FR"/>
              </w:rPr>
              <w:t xml:space="preserve"> :</w:t>
            </w:r>
          </w:p>
          <w:p w14:paraId="168ECBC8" w14:textId="77777777" w:rsidR="001B58C7" w:rsidRDefault="000F0E0E">
            <w:pPr>
              <w:pStyle w:val="NormalWeb"/>
              <w:spacing w:after="160" w:line="200" w:lineRule="atLeast"/>
              <w:jc w:val="both"/>
              <w:rPr>
                <w:kern w:val="2"/>
                <w:lang w:val="fr-FR"/>
              </w:rPr>
            </w:pPr>
            <w:r>
              <w:rPr>
                <w:rFonts w:eastAsia="Segoe UI"/>
                <w:kern w:val="2"/>
                <w:lang w:val="fr-FR"/>
              </w:rPr>
              <w:t>Le suivi des indicateurs du projet PROJUST repose sur un dispositif intégré de collecte, d’analyse et de validation des données, mobilisant des sources de preuves variées, fiables et traçables, disponibles sur demande.</w:t>
            </w:r>
          </w:p>
          <w:p w14:paraId="7F2C8128" w14:textId="77777777" w:rsidR="001B58C7" w:rsidRDefault="000F0E0E">
            <w:pPr>
              <w:pStyle w:val="NormalWeb"/>
              <w:spacing w:after="160" w:line="200" w:lineRule="atLeast"/>
              <w:jc w:val="both"/>
              <w:rPr>
                <w:kern w:val="2"/>
                <w:lang w:val="fr-FR"/>
              </w:rPr>
            </w:pPr>
            <w:r>
              <w:rPr>
                <w:rFonts w:eastAsia="Segoe UI"/>
                <w:kern w:val="2"/>
                <w:lang w:val="fr-FR"/>
              </w:rPr>
              <w:t>Les principales sources incluent, en premier lieu, les rapports périodiques produits par les partenaires de mise en œuvre, comprenant des données désagrégées sur les activités réalisées, les extrants atteints et les progrès enregistrés. Ces rapports sont appuyés par des pièces justificatives telles que les listes de présence, les procès-verbaux, les rapports d’activités et les documents financiers.</w:t>
            </w:r>
          </w:p>
          <w:p w14:paraId="6963E300" w14:textId="77777777" w:rsidR="001B58C7" w:rsidRDefault="000F0E0E">
            <w:pPr>
              <w:pStyle w:val="NormalWeb"/>
              <w:spacing w:after="160" w:line="200" w:lineRule="atLeast"/>
              <w:jc w:val="both"/>
              <w:rPr>
                <w:kern w:val="2"/>
                <w:lang w:val="fr-FR"/>
              </w:rPr>
            </w:pPr>
            <w:r>
              <w:rPr>
                <w:rFonts w:eastAsia="Segoe UI"/>
                <w:kern w:val="2"/>
                <w:lang w:val="fr-FR"/>
              </w:rPr>
              <w:t xml:space="preserve">En deuxième lieu, les missions de suivi conjointes et les visites de terrain ont permis de vérifier de manière directe les réalisations du projet. Ces missions ont donné lieu à des rapports de supervision, complétés par une documentation photographique et des observations de terrain attestant de la mise en œuvre effective des activités, notamment les audiences foraines, le fonctionnement des cadres de concertation et les infrastructures réhabilitées équipées à Tshikapa (Barreau du KASAI) et à </w:t>
            </w:r>
            <w:proofErr w:type="spellStart"/>
            <w:r>
              <w:rPr>
                <w:rFonts w:eastAsia="Segoe UI"/>
                <w:kern w:val="2"/>
                <w:lang w:val="fr-FR"/>
              </w:rPr>
              <w:t>Tshimbulu</w:t>
            </w:r>
            <w:proofErr w:type="spellEnd"/>
            <w:r>
              <w:rPr>
                <w:rFonts w:eastAsia="Segoe UI"/>
                <w:kern w:val="2"/>
                <w:lang w:val="fr-FR"/>
              </w:rPr>
              <w:t xml:space="preserve"> (Parquet de Grande Instance de </w:t>
            </w:r>
            <w:proofErr w:type="spellStart"/>
            <w:r>
              <w:rPr>
                <w:rFonts w:eastAsia="Segoe UI"/>
                <w:kern w:val="2"/>
                <w:lang w:val="fr-FR"/>
              </w:rPr>
              <w:t>Tshimbulu</w:t>
            </w:r>
            <w:proofErr w:type="spellEnd"/>
            <w:r>
              <w:rPr>
                <w:rFonts w:eastAsia="Segoe UI"/>
                <w:kern w:val="2"/>
                <w:lang w:val="fr-FR"/>
              </w:rPr>
              <w:t xml:space="preserve"> au Kasai Central</w:t>
            </w:r>
            <w:proofErr w:type="gramStart"/>
            <w:r>
              <w:rPr>
                <w:rFonts w:eastAsia="Segoe UI"/>
                <w:kern w:val="2"/>
                <w:lang w:val="fr-FR"/>
              </w:rPr>
              <w:t>)..</w:t>
            </w:r>
            <w:proofErr w:type="gramEnd"/>
          </w:p>
          <w:p w14:paraId="3808606D" w14:textId="77777777" w:rsidR="001B58C7" w:rsidRDefault="000F0E0E">
            <w:pPr>
              <w:pStyle w:val="NormalWeb"/>
              <w:spacing w:after="160" w:line="200" w:lineRule="atLeast"/>
              <w:jc w:val="both"/>
              <w:rPr>
                <w:kern w:val="2"/>
                <w:lang w:val="fr-FR"/>
              </w:rPr>
            </w:pPr>
            <w:r>
              <w:rPr>
                <w:rFonts w:eastAsia="Segoe UI"/>
                <w:kern w:val="2"/>
                <w:lang w:val="fr-FR"/>
              </w:rPr>
              <w:t xml:space="preserve">Par ailleurs, des méthodes qualitatives ont été utilisées, notamment des entretiens semi-structurés </w:t>
            </w:r>
            <w:r>
              <w:rPr>
                <w:rFonts w:eastAsia="Segoe UI"/>
                <w:kern w:val="2"/>
                <w:lang w:val="fr-FR"/>
              </w:rPr>
              <w:lastRenderedPageBreak/>
              <w:t>et des discussions de groupe avec les bénéficiaires, les autorités locales, les acteurs judiciaires et les organisations de la société civile. Ces données ont permis de renseigner les indicateurs liés aux changements de perception, à la cohésion sociale et à la confiance envers les institutions.</w:t>
            </w:r>
          </w:p>
          <w:p w14:paraId="3467FEE1" w14:textId="77777777" w:rsidR="001B58C7" w:rsidRDefault="000F0E0E">
            <w:pPr>
              <w:pStyle w:val="NormalWeb"/>
              <w:spacing w:after="160" w:line="200" w:lineRule="atLeast"/>
              <w:jc w:val="both"/>
              <w:rPr>
                <w:kern w:val="2"/>
                <w:lang w:val="fr-FR"/>
              </w:rPr>
            </w:pPr>
            <w:r>
              <w:rPr>
                <w:rFonts w:eastAsia="Segoe UI"/>
                <w:kern w:val="2"/>
                <w:lang w:val="fr-FR"/>
              </w:rPr>
              <w:t>Les données administratives et judiciaires constituent également une source clé de vérification, à travers les registres des juridictions, les statistiques relatives aux cas traités dans le cadre des audiences foraines et les dossiers judiciaires disponibles.</w:t>
            </w:r>
          </w:p>
          <w:p w14:paraId="14A9C9F1" w14:textId="77777777" w:rsidR="001B58C7" w:rsidRDefault="000F0E0E">
            <w:pPr>
              <w:pStyle w:val="NormalWeb"/>
              <w:spacing w:after="160" w:line="200" w:lineRule="atLeast"/>
              <w:jc w:val="both"/>
              <w:rPr>
                <w:kern w:val="2"/>
                <w:lang w:val="fr-FR"/>
              </w:rPr>
            </w:pPr>
            <w:r>
              <w:rPr>
                <w:rFonts w:eastAsia="Segoe UI"/>
                <w:kern w:val="2"/>
                <w:lang w:val="fr-FR"/>
              </w:rPr>
              <w:t>En complément, les outils de gestion du projet, notamment le cadre logique, les matrices de suivi des résultats et les bases de données internes, ont été utilisés pour consolider et trianguler les données collectées. Des mécanismes de contrôle qualité ont été appliqués afin d’assurer la cohérence et la fiabilité des informations rapportées.</w:t>
            </w:r>
          </w:p>
          <w:p w14:paraId="50B4F1F9" w14:textId="77777777" w:rsidR="001B58C7" w:rsidRDefault="000F0E0E">
            <w:pPr>
              <w:pStyle w:val="NormalWeb"/>
              <w:spacing w:after="160" w:line="200" w:lineRule="atLeast"/>
              <w:jc w:val="both"/>
              <w:rPr>
                <w:kern w:val="2"/>
                <w:lang w:val="fr-FR"/>
              </w:rPr>
            </w:pPr>
            <w:r>
              <w:rPr>
                <w:rFonts w:eastAsia="Segoe UI"/>
                <w:kern w:val="2"/>
                <w:lang w:val="fr-FR"/>
              </w:rPr>
              <w:t>Enfin, les exercices de capitalisation et les contributions des partenaires techniques ont permis de renforcer l’analyse des résultats et de corroborer les données issues des différentes sources.</w:t>
            </w:r>
          </w:p>
          <w:p w14:paraId="48B3CBFA" w14:textId="77777777" w:rsidR="001B58C7" w:rsidRDefault="000F0E0E">
            <w:pPr>
              <w:pStyle w:val="NormalWeb"/>
              <w:spacing w:after="160" w:line="200" w:lineRule="atLeast"/>
              <w:jc w:val="both"/>
              <w:rPr>
                <w:kern w:val="2"/>
                <w:lang w:val="fr-FR"/>
              </w:rPr>
            </w:pPr>
            <w:r>
              <w:rPr>
                <w:rFonts w:eastAsia="Segoe UI"/>
                <w:kern w:val="2"/>
                <w:lang w:val="fr-FR"/>
              </w:rPr>
              <w:t>Dans l’ensemble, ce dispositif garantit la crédibilité, la transparence et la vérifiabilité des indicateurs rapportés dans le cadre du projet PROJUST.</w:t>
            </w:r>
          </w:p>
          <w:p w14:paraId="34A50C97" w14:textId="77777777" w:rsidR="001B58C7" w:rsidRDefault="000F0E0E">
            <w:pPr>
              <w:spacing w:after="160" w:line="276" w:lineRule="auto"/>
              <w:rPr>
                <w:kern w:val="2"/>
                <w:lang w:val="fr-FR"/>
              </w:rPr>
            </w:pPr>
            <w:r>
              <w:rPr>
                <w:kern w:val="2"/>
                <w:lang w:val="fr-FR"/>
              </w:rPr>
              <w:t xml:space="preserve">Le projet a-t-il lancé des enquêtes de perception ou d'autres collectes de données aux niveaux des résultats* ?  </w:t>
            </w:r>
            <w:r>
              <w:rPr>
                <w:b/>
                <w:bCs/>
                <w:kern w:val="2"/>
                <w:lang w:val="fr-FR"/>
              </w:rPr>
              <w:t>NON.</w:t>
            </w:r>
          </w:p>
          <w:p w14:paraId="3AE0BD5F" w14:textId="77777777" w:rsidR="001B58C7" w:rsidRDefault="000F0E0E">
            <w:pPr>
              <w:spacing w:after="160" w:line="276" w:lineRule="auto"/>
              <w:rPr>
                <w:kern w:val="2"/>
                <w:lang w:val="fr-FR"/>
              </w:rPr>
            </w:pPr>
            <w:r>
              <w:rPr>
                <w:i/>
                <w:iCs/>
                <w:kern w:val="2"/>
                <w:sz w:val="18"/>
                <w:szCs w:val="18"/>
                <w:u w:val="single"/>
                <w:lang w:val="fr-FR"/>
              </w:rPr>
              <w:t xml:space="preserve">*L’enquête de perception est une collecte formelle d’informations auprès d’un échantillon de répondants sélectionnés au hasard par le biais de leurs réponses à des questions standardisées. Voir la </w:t>
            </w:r>
            <w:hyperlink r:id="rId13" w:history="1">
              <w:r w:rsidR="001B58C7">
                <w:rPr>
                  <w:rStyle w:val="Lienhypertexte"/>
                  <w:i/>
                  <w:iCs/>
                  <w:color w:val="auto"/>
                  <w:kern w:val="2"/>
                  <w:sz w:val="18"/>
                  <w:szCs w:val="18"/>
                  <w:lang w:val="fr-FR"/>
                </w:rPr>
                <w:t>note d’orientation du PBF</w:t>
              </w:r>
            </w:hyperlink>
            <w:r>
              <w:rPr>
                <w:i/>
                <w:iCs/>
                <w:kern w:val="2"/>
                <w:sz w:val="18"/>
                <w:szCs w:val="18"/>
                <w:u w:val="single"/>
                <w:lang w:val="fr-FR"/>
              </w:rPr>
              <w:t xml:space="preserve">  pour plus d’informations.</w:t>
            </w:r>
            <w:r>
              <w:rPr>
                <w:kern w:val="2"/>
                <w:lang w:val="fr-FR"/>
              </w:rPr>
              <w:fldChar w:fldCharType="begin"/>
            </w:r>
            <w:r>
              <w:rPr>
                <w:kern w:val="2"/>
                <w:lang w:val="fr-FR"/>
              </w:rPr>
              <w:instrText xml:space="preserve"> FORMDROPDOWN </w:instrText>
            </w:r>
            <w:r>
              <w:rPr>
                <w:kern w:val="2"/>
                <w:lang w:val="fr-FR"/>
              </w:rPr>
              <w:fldChar w:fldCharType="separate"/>
            </w:r>
            <w:r>
              <w:rPr>
                <w:kern w:val="2"/>
                <w:lang w:val="fr-FR"/>
              </w:rPr>
              <w:fldChar w:fldCharType="end"/>
            </w:r>
          </w:p>
          <w:p w14:paraId="5ACDA80C" w14:textId="77777777" w:rsidR="001B58C7" w:rsidRDefault="000F0E0E">
            <w:pPr>
              <w:spacing w:after="160" w:line="276" w:lineRule="auto"/>
              <w:rPr>
                <w:kern w:val="2"/>
                <w:lang w:val="fr-FR"/>
              </w:rPr>
            </w:pPr>
            <w:r>
              <w:rPr>
                <w:kern w:val="2"/>
                <w:lang w:val="fr-FR"/>
              </w:rPr>
              <w:t xml:space="preserve">Si vous avez répondu oui à la question précédente, veuillez décrire brièvement </w:t>
            </w:r>
            <w:r>
              <w:rPr>
                <w:i/>
                <w:iCs/>
                <w:kern w:val="2"/>
                <w:lang w:val="fr-FR"/>
              </w:rPr>
              <w:t>(3000 caractères</w:t>
            </w:r>
            <w:proofErr w:type="gramStart"/>
            <w:r>
              <w:rPr>
                <w:i/>
                <w:iCs/>
                <w:kern w:val="2"/>
                <w:lang w:val="fr-FR"/>
              </w:rPr>
              <w:t>)</w:t>
            </w:r>
            <w:r>
              <w:rPr>
                <w:kern w:val="2"/>
                <w:lang w:val="fr-FR"/>
              </w:rPr>
              <w:t>:</w:t>
            </w:r>
            <w:proofErr w:type="gramEnd"/>
          </w:p>
          <w:p w14:paraId="1EB4B997" w14:textId="77777777" w:rsidR="001B58C7" w:rsidRDefault="000F0E0E">
            <w:pPr>
              <w:spacing w:before="240" w:after="240" w:line="276" w:lineRule="auto"/>
              <w:rPr>
                <w:kern w:val="2"/>
                <w:lang w:val="fr-FR"/>
              </w:rPr>
            </w:pPr>
            <w:r>
              <w:rPr>
                <w:kern w:val="2"/>
                <w:lang w:val="fr-FR"/>
              </w:rPr>
              <w:t xml:space="preserve">Le projet a-t-il utilisé ou établi des mécanismes de feedback communautaire* ?   </w:t>
            </w:r>
            <w:r>
              <w:rPr>
                <w:b/>
                <w:bCs/>
                <w:kern w:val="2"/>
                <w:lang w:val="fr-FR"/>
              </w:rPr>
              <w:t>NON.</w:t>
            </w:r>
          </w:p>
          <w:p w14:paraId="1640988B" w14:textId="77777777" w:rsidR="001B58C7" w:rsidRDefault="000F0E0E">
            <w:pPr>
              <w:spacing w:after="160" w:line="276" w:lineRule="auto"/>
              <w:rPr>
                <w:i/>
                <w:iCs/>
                <w:kern w:val="2"/>
                <w:sz w:val="18"/>
                <w:szCs w:val="18"/>
                <w:lang w:val="fr-FR"/>
              </w:rPr>
            </w:pPr>
            <w:r>
              <w:rPr>
                <w:i/>
                <w:iCs/>
                <w:kern w:val="2"/>
                <w:sz w:val="18"/>
                <w:szCs w:val="18"/>
                <w:lang w:val="fr-FR"/>
              </w:rPr>
              <w:t xml:space="preserve">*Le mécanisme de feedback communautaire, ou suivi communautaire, est un système organisé permettant aux communautés de participants de surveiller les effets et l’impact locaux d’une intervention. Idéalement, ce système permet à la communauté d’exprimer si ses attentes sont satisfaites et de fournir </w:t>
            </w:r>
            <w:r>
              <w:rPr>
                <w:i/>
                <w:iCs/>
                <w:kern w:val="2"/>
                <w:sz w:val="18"/>
                <w:szCs w:val="18"/>
                <w:lang w:val="fr-FR"/>
              </w:rPr>
              <w:lastRenderedPageBreak/>
              <w:t xml:space="preserve">des suggestions aux décideurs pour un éventuel (re)centrage. Voir la </w:t>
            </w:r>
            <w:hyperlink r:id="rId14" w:history="1">
              <w:r w:rsidR="001B58C7">
                <w:rPr>
                  <w:rStyle w:val="Lienhypertexte"/>
                  <w:i/>
                  <w:iCs/>
                  <w:color w:val="auto"/>
                  <w:kern w:val="2"/>
                  <w:sz w:val="18"/>
                  <w:szCs w:val="18"/>
                  <w:lang w:val="fr-FR"/>
                </w:rPr>
                <w:t>note d’orientation du PBF</w:t>
              </w:r>
            </w:hyperlink>
            <w:r>
              <w:rPr>
                <w:i/>
                <w:iCs/>
                <w:kern w:val="2"/>
                <w:sz w:val="18"/>
                <w:szCs w:val="18"/>
                <w:lang w:val="fr-FR"/>
              </w:rPr>
              <w:t xml:space="preserve"> pour plus d’informations.</w:t>
            </w:r>
          </w:p>
          <w:p w14:paraId="4728D94C" w14:textId="77777777" w:rsidR="001B58C7" w:rsidRDefault="000F0E0E">
            <w:pPr>
              <w:spacing w:after="160" w:line="276" w:lineRule="auto"/>
              <w:rPr>
                <w:kern w:val="2"/>
                <w:lang w:val="fr-FR"/>
              </w:rPr>
            </w:pPr>
            <w:r>
              <w:rPr>
                <w:kern w:val="2"/>
                <w:lang w:val="fr-FR"/>
              </w:rPr>
              <w:t>Si vous avez répondu oui à la question précédente, Veuillez décrire brièvement (3000 caractères</w:t>
            </w:r>
            <w:proofErr w:type="gramStart"/>
            <w:r>
              <w:rPr>
                <w:kern w:val="2"/>
                <w:lang w:val="fr-FR"/>
              </w:rPr>
              <w:t>):</w:t>
            </w:r>
            <w:proofErr w:type="gramEnd"/>
            <w:r>
              <w:rPr>
                <w:kern w:val="2"/>
                <w:lang w:val="fr-FR"/>
              </w:rPr>
              <w:t xml:space="preserve">  </w:t>
            </w:r>
          </w:p>
        </w:tc>
      </w:tr>
      <w:tr w:rsidR="001B58C7" w:rsidRPr="00ED3A8A" w14:paraId="3DEBE39A" w14:textId="77777777">
        <w:trPr>
          <w:trHeight w:val="300"/>
        </w:trPr>
        <w:tc>
          <w:tcPr>
            <w:tcW w:w="4410" w:type="dxa"/>
          </w:tcPr>
          <w:p w14:paraId="7B4CEB6B" w14:textId="77777777" w:rsidR="001B58C7" w:rsidRDefault="000F0E0E">
            <w:pPr>
              <w:spacing w:after="160" w:line="276" w:lineRule="auto"/>
              <w:rPr>
                <w:kern w:val="2"/>
                <w:lang w:val="fr-FR"/>
              </w:rPr>
            </w:pPr>
            <w:r>
              <w:rPr>
                <w:b/>
                <w:bCs/>
                <w:kern w:val="2"/>
                <w:u w:val="single"/>
                <w:lang w:val="fr-FR"/>
              </w:rPr>
              <w:lastRenderedPageBreak/>
              <w:t>Évaluation :</w:t>
            </w:r>
            <w:r>
              <w:rPr>
                <w:kern w:val="2"/>
                <w:lang w:val="fr-FR"/>
              </w:rPr>
              <w:t xml:space="preserve"> Est-ce qu’un exercice évaluatif a été conduit pendant la période du rapport ?</w:t>
            </w:r>
          </w:p>
          <w:p w14:paraId="50F067FF" w14:textId="77777777" w:rsidR="001B58C7" w:rsidRDefault="000F0E0E">
            <w:pPr>
              <w:spacing w:after="160" w:line="276" w:lineRule="auto"/>
              <w:rPr>
                <w:kern w:val="2"/>
                <w:lang w:val="fr-FR"/>
              </w:rPr>
            </w:pPr>
            <w:r>
              <w:rPr>
                <w:b/>
                <w:bCs/>
                <w:kern w:val="2"/>
                <w:lang w:val="fr-FR"/>
              </w:rPr>
              <w:t>NON.</w:t>
            </w:r>
          </w:p>
        </w:tc>
        <w:tc>
          <w:tcPr>
            <w:tcW w:w="5153" w:type="dxa"/>
          </w:tcPr>
          <w:p w14:paraId="31D292DB" w14:textId="77777777" w:rsidR="001B58C7" w:rsidRDefault="000F0E0E">
            <w:pPr>
              <w:spacing w:after="160" w:line="276" w:lineRule="auto"/>
              <w:rPr>
                <w:kern w:val="2"/>
                <w:lang w:val="fr-FR"/>
              </w:rPr>
            </w:pPr>
            <w:r>
              <w:rPr>
                <w:kern w:val="2"/>
                <w:lang w:val="fr-FR"/>
              </w:rPr>
              <w:t xml:space="preserve">Budget pour évaluation finale (réponse obligatoire) : </w:t>
            </w:r>
            <w:r>
              <w:rPr>
                <w:b/>
                <w:bCs/>
                <w:kern w:val="2"/>
                <w:lang w:val="fr-FR"/>
              </w:rPr>
              <w:t xml:space="preserve"> 70,000.00</w:t>
            </w:r>
          </w:p>
          <w:p w14:paraId="7658A0A4" w14:textId="77777777" w:rsidR="001B58C7" w:rsidRDefault="000F0E0E">
            <w:pPr>
              <w:spacing w:after="160" w:line="276" w:lineRule="auto"/>
              <w:rPr>
                <w:kern w:val="2"/>
                <w:lang w:val="fr-FR"/>
              </w:rPr>
            </w:pPr>
            <w:r>
              <w:rPr>
                <w:kern w:val="2"/>
                <w:lang w:val="fr-FR"/>
              </w:rPr>
              <w:t xml:space="preserve">Si le projet se termine dans les 6 prochains mois, l’évaluation du projet est-elle sur la bonne voie ? </w:t>
            </w:r>
            <w:r>
              <w:rPr>
                <w:b/>
                <w:bCs/>
                <w:kern w:val="2"/>
                <w:lang w:val="fr-FR"/>
              </w:rPr>
              <w:t>NON APPLICABLE.</w:t>
            </w:r>
          </w:p>
          <w:p w14:paraId="41179F8D" w14:textId="77777777" w:rsidR="001B58C7" w:rsidRDefault="000F0E0E">
            <w:pPr>
              <w:spacing w:after="160" w:line="276" w:lineRule="auto"/>
              <w:rPr>
                <w:kern w:val="2"/>
                <w:lang w:val="fr-FR"/>
              </w:rPr>
            </w:pPr>
            <w:r>
              <w:rPr>
                <w:kern w:val="2"/>
                <w:lang w:val="fr-FR"/>
              </w:rPr>
              <w:t xml:space="preserve">Décrire les préparatifs pour l’évaluation </w:t>
            </w:r>
            <w:r>
              <w:rPr>
                <w:i/>
                <w:iCs/>
                <w:kern w:val="2"/>
                <w:lang w:val="fr-FR"/>
              </w:rPr>
              <w:t>(3000 caractères)</w:t>
            </w:r>
            <w:r>
              <w:rPr>
                <w:kern w:val="2"/>
                <w:lang w:val="fr-FR"/>
              </w:rPr>
              <w:t xml:space="preserve"> :</w:t>
            </w:r>
          </w:p>
          <w:p w14:paraId="4250B452" w14:textId="77777777" w:rsidR="001B58C7" w:rsidRDefault="000F0E0E">
            <w:pPr>
              <w:spacing w:after="160" w:line="276" w:lineRule="auto"/>
              <w:rPr>
                <w:b/>
                <w:bCs/>
                <w:kern w:val="2"/>
                <w:lang w:val="fr-FR"/>
              </w:rPr>
            </w:pPr>
            <w:r>
              <w:rPr>
                <w:b/>
                <w:bCs/>
                <w:kern w:val="2"/>
                <w:lang w:val="fr-FR"/>
              </w:rPr>
              <w:t>NON APPLICABLE.</w:t>
            </w:r>
          </w:p>
          <w:p w14:paraId="2D228E4C" w14:textId="77777777" w:rsidR="001B58C7" w:rsidRDefault="000F0E0E">
            <w:pPr>
              <w:spacing w:after="160" w:line="276" w:lineRule="auto"/>
              <w:rPr>
                <w:kern w:val="2"/>
                <w:lang w:val="fr-FR"/>
              </w:rPr>
            </w:pPr>
            <w:r>
              <w:rPr>
                <w:kern w:val="2"/>
                <w:lang w:val="fr-FR"/>
              </w:rPr>
              <w:t>Veuillez mentionner la personne focale chargée de partager le rapport d'évaluation final avec le PBF :</w:t>
            </w:r>
          </w:p>
          <w:p w14:paraId="21B9D1A7" w14:textId="77777777" w:rsidR="001B58C7" w:rsidRDefault="000F0E0E">
            <w:pPr>
              <w:spacing w:after="160" w:line="276" w:lineRule="auto"/>
              <w:rPr>
                <w:b/>
                <w:bCs/>
                <w:kern w:val="2"/>
                <w:lang w:val="fr-FR"/>
              </w:rPr>
            </w:pPr>
            <w:r>
              <w:rPr>
                <w:i/>
                <w:iCs/>
                <w:kern w:val="2"/>
                <w:lang w:val="fr-FR"/>
              </w:rPr>
              <w:fldChar w:fldCharType="begin">
                <w:ffData>
                  <w:name w:val=""/>
                  <w:enabled/>
                  <w:calcOnExit w:val="0"/>
                  <w:textInput>
                    <w:default w:val="Nom"/>
                    <w:maxLength w:val="15000"/>
                    <w:format w:val="第一个字母大写"/>
                  </w:textInput>
                </w:ffData>
              </w:fldChar>
            </w:r>
            <w:r>
              <w:rPr>
                <w:i/>
                <w:iCs/>
                <w:kern w:val="2"/>
                <w:lang w:val="fr-FR"/>
              </w:rPr>
              <w:instrText xml:space="preserve"> FORMTEXT </w:instrText>
            </w:r>
            <w:r>
              <w:rPr>
                <w:i/>
                <w:iCs/>
                <w:kern w:val="2"/>
                <w:lang w:val="fr-FR"/>
              </w:rPr>
            </w:r>
            <w:r>
              <w:rPr>
                <w:i/>
                <w:iCs/>
                <w:kern w:val="2"/>
                <w:lang w:val="fr-FR"/>
              </w:rPr>
              <w:fldChar w:fldCharType="separate"/>
            </w:r>
            <w:r>
              <w:rPr>
                <w:i/>
                <w:iCs/>
                <w:kern w:val="2"/>
                <w:lang w:val="fr-FR"/>
              </w:rPr>
              <w:t>Nom</w:t>
            </w:r>
            <w:r>
              <w:rPr>
                <w:i/>
                <w:iCs/>
                <w:kern w:val="2"/>
                <w:lang w:val="fr-FR"/>
              </w:rPr>
              <w:fldChar w:fldCharType="end"/>
            </w:r>
            <w:r>
              <w:rPr>
                <w:kern w:val="2"/>
                <w:lang w:val="fr-FR"/>
              </w:rPr>
              <w:t xml:space="preserve">  :</w:t>
            </w:r>
            <w:r>
              <w:rPr>
                <w:b/>
                <w:bCs/>
                <w:kern w:val="2"/>
                <w:lang w:val="fr-FR"/>
              </w:rPr>
              <w:t xml:space="preserve"> Lolo SHUNGU, PNUD.</w:t>
            </w:r>
          </w:p>
          <w:p w14:paraId="70ACB78D" w14:textId="77777777" w:rsidR="001B58C7" w:rsidRDefault="000F0E0E">
            <w:pPr>
              <w:spacing w:after="160" w:line="276" w:lineRule="auto"/>
              <w:rPr>
                <w:i/>
                <w:iCs/>
                <w:kern w:val="2"/>
                <w:lang w:val="fr-FR"/>
              </w:rPr>
            </w:pPr>
            <w:r>
              <w:rPr>
                <w:i/>
                <w:iCs/>
                <w:kern w:val="2"/>
                <w:lang w:val="fr-FR"/>
              </w:rPr>
              <w:fldChar w:fldCharType="begin">
                <w:ffData>
                  <w:name w:val=""/>
                  <w:enabled/>
                  <w:calcOnExit w:val="0"/>
                  <w:textInput>
                    <w:default w:val="Organisation"/>
                    <w:maxLength w:val="15000"/>
                    <w:format w:val="第一个字母大写"/>
                  </w:textInput>
                </w:ffData>
              </w:fldChar>
            </w:r>
            <w:r>
              <w:rPr>
                <w:i/>
                <w:iCs/>
                <w:kern w:val="2"/>
                <w:lang w:val="fr-FR"/>
              </w:rPr>
              <w:instrText xml:space="preserve"> FORMTEXT </w:instrText>
            </w:r>
            <w:r>
              <w:rPr>
                <w:i/>
                <w:iCs/>
                <w:kern w:val="2"/>
                <w:lang w:val="fr-FR"/>
              </w:rPr>
            </w:r>
            <w:r>
              <w:rPr>
                <w:i/>
                <w:iCs/>
                <w:kern w:val="2"/>
                <w:lang w:val="fr-FR"/>
              </w:rPr>
              <w:fldChar w:fldCharType="separate"/>
            </w:r>
            <w:r>
              <w:rPr>
                <w:i/>
                <w:iCs/>
                <w:kern w:val="2"/>
                <w:lang w:val="fr-FR"/>
              </w:rPr>
              <w:t>Organisation</w:t>
            </w:r>
            <w:r>
              <w:rPr>
                <w:i/>
                <w:iCs/>
                <w:kern w:val="2"/>
                <w:lang w:val="fr-FR"/>
              </w:rPr>
              <w:fldChar w:fldCharType="end"/>
            </w:r>
            <w:r>
              <w:rPr>
                <w:i/>
                <w:iCs/>
                <w:kern w:val="2"/>
                <w:lang w:val="fr-FR"/>
              </w:rPr>
              <w:t xml:space="preserve"> : </w:t>
            </w:r>
            <w:r>
              <w:rPr>
                <w:b/>
                <w:bCs/>
                <w:i/>
                <w:iCs/>
                <w:kern w:val="2"/>
                <w:lang w:val="fr-FR"/>
              </w:rPr>
              <w:t>PNUD.</w:t>
            </w:r>
          </w:p>
          <w:p w14:paraId="2D0A8BCB" w14:textId="77777777" w:rsidR="001B58C7" w:rsidRDefault="000F0E0E">
            <w:pPr>
              <w:spacing w:after="160" w:line="276" w:lineRule="auto"/>
              <w:rPr>
                <w:kern w:val="2"/>
                <w:lang w:val="fr-FR"/>
              </w:rPr>
            </w:pPr>
            <w:r>
              <w:rPr>
                <w:i/>
                <w:iCs/>
                <w:kern w:val="2"/>
                <w:lang w:val="fr-FR"/>
              </w:rPr>
              <w:fldChar w:fldCharType="begin">
                <w:ffData>
                  <w:name w:val=""/>
                  <w:enabled/>
                  <w:calcOnExit w:val="0"/>
                  <w:textInput>
                    <w:default w:val="Titre d'emploi"/>
                    <w:maxLength w:val="15000"/>
                    <w:format w:val="第一个字母大写"/>
                  </w:textInput>
                </w:ffData>
              </w:fldChar>
            </w:r>
            <w:r>
              <w:rPr>
                <w:i/>
                <w:iCs/>
                <w:kern w:val="2"/>
                <w:lang w:val="fr-FR"/>
              </w:rPr>
              <w:instrText xml:space="preserve"> FORMTEXT </w:instrText>
            </w:r>
            <w:r>
              <w:rPr>
                <w:i/>
                <w:iCs/>
                <w:kern w:val="2"/>
                <w:lang w:val="fr-FR"/>
              </w:rPr>
            </w:r>
            <w:r>
              <w:rPr>
                <w:i/>
                <w:iCs/>
                <w:kern w:val="2"/>
                <w:lang w:val="fr-FR"/>
              </w:rPr>
              <w:fldChar w:fldCharType="separate"/>
            </w:r>
            <w:r>
              <w:rPr>
                <w:i/>
                <w:iCs/>
                <w:kern w:val="2"/>
                <w:lang w:val="fr-FR"/>
              </w:rPr>
              <w:t>Titre d'emploi</w:t>
            </w:r>
            <w:r>
              <w:rPr>
                <w:i/>
                <w:iCs/>
                <w:kern w:val="2"/>
                <w:lang w:val="fr-FR"/>
              </w:rPr>
              <w:fldChar w:fldCharType="end"/>
            </w:r>
            <w:r>
              <w:rPr>
                <w:i/>
                <w:iCs/>
                <w:kern w:val="2"/>
                <w:lang w:val="fr-FR"/>
              </w:rPr>
              <w:t xml:space="preserve"> : </w:t>
            </w:r>
            <w:r>
              <w:rPr>
                <w:b/>
                <w:bCs/>
                <w:i/>
                <w:iCs/>
                <w:kern w:val="2"/>
                <w:lang w:val="fr-FR"/>
              </w:rPr>
              <w:t>Responsable partenariat.</w:t>
            </w:r>
          </w:p>
          <w:p w14:paraId="08A1B00F" w14:textId="77777777" w:rsidR="001B58C7" w:rsidRDefault="000F0E0E">
            <w:pPr>
              <w:spacing w:after="160" w:line="276" w:lineRule="auto"/>
              <w:rPr>
                <w:kern w:val="2"/>
                <w:lang w:val="fr-FR"/>
              </w:rPr>
            </w:pPr>
            <w:r>
              <w:rPr>
                <w:i/>
                <w:iCs/>
                <w:kern w:val="2"/>
                <w:lang w:val="fr-FR"/>
              </w:rPr>
              <w:fldChar w:fldCharType="begin">
                <w:ffData>
                  <w:name w:val=""/>
                  <w:enabled/>
                  <w:calcOnExit w:val="0"/>
                  <w:textInput>
                    <w:default w:val="Email"/>
                    <w:maxLength w:val="15000"/>
                    <w:format w:val="第一个字母大写"/>
                  </w:textInput>
                </w:ffData>
              </w:fldChar>
            </w:r>
            <w:r>
              <w:rPr>
                <w:i/>
                <w:iCs/>
                <w:kern w:val="2"/>
                <w:lang w:val="fr-FR"/>
              </w:rPr>
              <w:instrText xml:space="preserve"> FORMTEXT </w:instrText>
            </w:r>
            <w:r>
              <w:rPr>
                <w:i/>
                <w:iCs/>
                <w:kern w:val="2"/>
                <w:lang w:val="fr-FR"/>
              </w:rPr>
            </w:r>
            <w:r>
              <w:rPr>
                <w:i/>
                <w:iCs/>
                <w:kern w:val="2"/>
                <w:lang w:val="fr-FR"/>
              </w:rPr>
              <w:fldChar w:fldCharType="separate"/>
            </w:r>
            <w:proofErr w:type="gramStart"/>
            <w:r>
              <w:rPr>
                <w:i/>
                <w:iCs/>
                <w:kern w:val="2"/>
                <w:lang w:val="fr-FR"/>
              </w:rPr>
              <w:t>Email</w:t>
            </w:r>
            <w:proofErr w:type="gramEnd"/>
            <w:r>
              <w:rPr>
                <w:i/>
                <w:iCs/>
                <w:kern w:val="2"/>
                <w:lang w:val="fr-FR"/>
              </w:rPr>
              <w:fldChar w:fldCharType="end"/>
            </w:r>
            <w:r>
              <w:rPr>
                <w:i/>
                <w:iCs/>
                <w:kern w:val="2"/>
                <w:lang w:val="fr-FR"/>
              </w:rPr>
              <w:t xml:space="preserve"> :</w:t>
            </w:r>
            <w:r>
              <w:rPr>
                <w:b/>
                <w:bCs/>
                <w:i/>
                <w:iCs/>
                <w:kern w:val="2"/>
                <w:lang w:val="fr-FR"/>
              </w:rPr>
              <w:t xml:space="preserve"> </w:t>
            </w:r>
            <w:proofErr w:type="gramStart"/>
            <w:r>
              <w:rPr>
                <w:b/>
                <w:bCs/>
                <w:i/>
                <w:iCs/>
                <w:kern w:val="2"/>
                <w:lang w:val="fr-FR"/>
              </w:rPr>
              <w:t>françois.elika@undp.org</w:t>
            </w:r>
            <w:proofErr w:type="gramEnd"/>
          </w:p>
        </w:tc>
      </w:tr>
      <w:tr w:rsidR="001B58C7" w:rsidRPr="00ED3A8A" w14:paraId="5A0AC62D" w14:textId="77777777">
        <w:trPr>
          <w:trHeight w:val="300"/>
        </w:trPr>
        <w:tc>
          <w:tcPr>
            <w:tcW w:w="4410" w:type="dxa"/>
          </w:tcPr>
          <w:p w14:paraId="1D874E9C" w14:textId="77777777" w:rsidR="001B58C7" w:rsidRDefault="000F0E0E">
            <w:pPr>
              <w:spacing w:after="160" w:line="276" w:lineRule="auto"/>
              <w:rPr>
                <w:kern w:val="2"/>
                <w:lang w:val="fr-FR"/>
              </w:rPr>
            </w:pPr>
            <w:r>
              <w:rPr>
                <w:b/>
                <w:bCs/>
                <w:kern w:val="2"/>
                <w:u w:val="single"/>
                <w:lang w:val="fr-FR"/>
              </w:rPr>
              <w:t>Effets catalytiques (financiers)</w:t>
            </w:r>
            <w:r>
              <w:rPr>
                <w:b/>
                <w:bCs/>
                <w:kern w:val="2"/>
                <w:lang w:val="fr-FR"/>
              </w:rPr>
              <w:t xml:space="preserve"> :</w:t>
            </w:r>
            <w:r>
              <w:rPr>
                <w:kern w:val="2"/>
                <w:lang w:val="fr-FR"/>
              </w:rPr>
              <w:t xml:space="preserve"> </w:t>
            </w:r>
          </w:p>
          <w:p w14:paraId="6ADF6AF8" w14:textId="77777777" w:rsidR="001B58C7" w:rsidRDefault="000F0E0E">
            <w:pPr>
              <w:spacing w:after="160" w:line="276" w:lineRule="auto"/>
              <w:rPr>
                <w:i/>
                <w:iCs/>
                <w:kern w:val="2"/>
                <w:sz w:val="18"/>
                <w:szCs w:val="18"/>
                <w:lang w:val="fr-FR"/>
              </w:rPr>
            </w:pPr>
            <w:r>
              <w:rPr>
                <w:i/>
                <w:iCs/>
                <w:kern w:val="2"/>
                <w:sz w:val="18"/>
                <w:szCs w:val="18"/>
                <w:lang w:val="fr-FR"/>
              </w:rPr>
              <w:t xml:space="preserve">*Veuillez-vous référer à </w:t>
            </w:r>
            <w:r w:rsidR="001B58C7">
              <w:fldChar w:fldCharType="begin"/>
            </w:r>
            <w:r w:rsidR="001B58C7" w:rsidRPr="00ED3A8A">
              <w:rPr>
                <w:lang w:val="fr-FR"/>
              </w:rPr>
              <w:instrText>HYPERLINK "https://www.un.org/peacebuilding/sites/www.un.org.peacebuilding/files/documents/ligne_directrice_sur_leffect_catalytique_du_pbf-_french.pdf" \h</w:instrText>
            </w:r>
            <w:r w:rsidR="001B58C7">
              <w:fldChar w:fldCharType="separate"/>
            </w:r>
            <w:r w:rsidR="001B58C7">
              <w:rPr>
                <w:rStyle w:val="Lienhypertexte"/>
                <w:i/>
                <w:iCs/>
                <w:kern w:val="2"/>
                <w:sz w:val="18"/>
                <w:szCs w:val="18"/>
                <w:lang w:val="fr-FR"/>
              </w:rPr>
              <w:t>la note d’orientation du PBF</w:t>
            </w:r>
            <w:r w:rsidR="001B58C7">
              <w:fldChar w:fldCharType="end"/>
            </w:r>
            <w:r>
              <w:rPr>
                <w:i/>
                <w:iCs/>
                <w:kern w:val="2"/>
                <w:sz w:val="18"/>
                <w:szCs w:val="18"/>
                <w:lang w:val="fr-FR"/>
              </w:rPr>
              <w:t xml:space="preserve"> sur les effets catalytiques. </w:t>
            </w:r>
          </w:p>
          <w:p w14:paraId="1817A40F" w14:textId="77777777" w:rsidR="001B58C7" w:rsidRDefault="001B58C7">
            <w:pPr>
              <w:spacing w:after="160" w:line="276" w:lineRule="auto"/>
              <w:rPr>
                <w:kern w:val="2"/>
                <w:lang w:val="fr-FR"/>
              </w:rPr>
            </w:pPr>
          </w:p>
          <w:p w14:paraId="5DFD7F95" w14:textId="77777777" w:rsidR="001B58C7" w:rsidRDefault="000F0E0E">
            <w:pPr>
              <w:spacing w:after="160" w:line="276" w:lineRule="auto"/>
              <w:rPr>
                <w:kern w:val="2"/>
                <w:lang w:val="fr-FR"/>
              </w:rPr>
            </w:pPr>
            <w:r>
              <w:rPr>
                <w:kern w:val="2"/>
                <w:lang w:val="fr-FR"/>
              </w:rPr>
              <w:t>À ce jour, le projet a-t-il mobilisé des ressources financières supplémentaires non liées au PBF, depuis le début du projet ?</w:t>
            </w:r>
            <w:r>
              <w:rPr>
                <w:kern w:val="2"/>
                <w:lang w:val="fr-FR"/>
              </w:rPr>
              <w:fldChar w:fldCharType="begin"/>
            </w:r>
            <w:r>
              <w:rPr>
                <w:kern w:val="2"/>
                <w:lang w:val="fr-FR"/>
              </w:rPr>
              <w:instrText xml:space="preserve"> FORMDROPDOWN </w:instrText>
            </w:r>
            <w:r>
              <w:rPr>
                <w:kern w:val="2"/>
                <w:lang w:val="fr-FR"/>
              </w:rPr>
              <w:fldChar w:fldCharType="separate"/>
            </w:r>
            <w:r>
              <w:rPr>
                <w:kern w:val="2"/>
                <w:lang w:val="fr-FR"/>
              </w:rPr>
              <w:fldChar w:fldCharType="end"/>
            </w:r>
            <w:r>
              <w:rPr>
                <w:kern w:val="2"/>
                <w:lang w:val="fr-FR"/>
              </w:rPr>
              <w:t xml:space="preserve"> </w:t>
            </w:r>
            <w:r>
              <w:rPr>
                <w:b/>
                <w:bCs/>
                <w:kern w:val="2"/>
                <w:lang w:val="fr-FR"/>
              </w:rPr>
              <w:t>NON APPLICABLE.</w:t>
            </w:r>
          </w:p>
          <w:p w14:paraId="61145071" w14:textId="77777777" w:rsidR="001B58C7" w:rsidRDefault="000F0E0E">
            <w:pPr>
              <w:spacing w:after="160" w:line="276" w:lineRule="auto"/>
              <w:rPr>
                <w:kern w:val="2"/>
                <w:lang w:val="fr-FR"/>
              </w:rPr>
            </w:pPr>
            <w:r>
              <w:rPr>
                <w:kern w:val="2"/>
                <w:lang w:val="fr-FR"/>
              </w:rPr>
              <w:t>Si oui, indiquez le nom de tous les donneurs (agent de financement) et les montants du soutien financier non PBF supplémentaire qui a été obtenu par le projet depuis qu’il a été lancé, ainsi que spécifiquement au cours de la présente période de référence.</w:t>
            </w:r>
          </w:p>
        </w:tc>
        <w:tc>
          <w:tcPr>
            <w:tcW w:w="5153" w:type="dxa"/>
          </w:tcPr>
          <w:p w14:paraId="635EECAB" w14:textId="77777777" w:rsidR="001B58C7" w:rsidRDefault="001B58C7">
            <w:pPr>
              <w:spacing w:after="160" w:line="276" w:lineRule="auto"/>
              <w:rPr>
                <w:kern w:val="2"/>
                <w:lang w:val="fr-FR"/>
              </w:rPr>
            </w:pPr>
          </w:p>
          <w:tbl>
            <w:tblPr>
              <w:tblStyle w:val="Grilledutableau"/>
              <w:tblW w:w="0" w:type="auto"/>
              <w:tblLook w:val="04A0" w:firstRow="1" w:lastRow="0" w:firstColumn="1" w:lastColumn="0" w:noHBand="0" w:noVBand="1"/>
            </w:tblPr>
            <w:tblGrid>
              <w:gridCol w:w="1642"/>
              <w:gridCol w:w="1642"/>
              <w:gridCol w:w="1643"/>
            </w:tblGrid>
            <w:tr w:rsidR="001B58C7" w:rsidRPr="00ED3A8A" w14:paraId="2E653641" w14:textId="77777777">
              <w:tc>
                <w:tcPr>
                  <w:tcW w:w="1642" w:type="dxa"/>
                </w:tcPr>
                <w:p w14:paraId="4BAA525C" w14:textId="77777777" w:rsidR="001B58C7" w:rsidRDefault="000F0E0E">
                  <w:pPr>
                    <w:spacing w:after="160" w:line="276" w:lineRule="auto"/>
                    <w:rPr>
                      <w:b/>
                      <w:bCs/>
                      <w:kern w:val="2"/>
                      <w:lang w:val="fr-FR"/>
                    </w:rPr>
                  </w:pPr>
                  <w:r>
                    <w:rPr>
                      <w:b/>
                      <w:bCs/>
                      <w:kern w:val="2"/>
                      <w:lang w:val="fr-FR"/>
                    </w:rPr>
                    <w:t xml:space="preserve">Nom de donneur :     </w:t>
                  </w:r>
                </w:p>
              </w:tc>
              <w:tc>
                <w:tcPr>
                  <w:tcW w:w="1642" w:type="dxa"/>
                </w:tcPr>
                <w:p w14:paraId="60265F06" w14:textId="77777777" w:rsidR="001B58C7" w:rsidRDefault="000F0E0E">
                  <w:pPr>
                    <w:spacing w:after="160" w:line="276" w:lineRule="auto"/>
                    <w:rPr>
                      <w:b/>
                      <w:bCs/>
                      <w:kern w:val="2"/>
                      <w:lang w:val="fr-FR"/>
                    </w:rPr>
                  </w:pPr>
                  <w:r>
                    <w:rPr>
                      <w:b/>
                      <w:bCs/>
                      <w:kern w:val="2"/>
                      <w:lang w:val="fr-FR"/>
                    </w:rPr>
                    <w:t>Montant mobilise depuis le début du projet (en dollar USD) :</w:t>
                  </w:r>
                </w:p>
              </w:tc>
              <w:tc>
                <w:tcPr>
                  <w:tcW w:w="1643" w:type="dxa"/>
                </w:tcPr>
                <w:p w14:paraId="3B184D96" w14:textId="77777777" w:rsidR="001B58C7" w:rsidRDefault="000F0E0E">
                  <w:pPr>
                    <w:spacing w:after="160" w:line="276" w:lineRule="auto"/>
                    <w:rPr>
                      <w:b/>
                      <w:bCs/>
                      <w:kern w:val="2"/>
                      <w:lang w:val="fr-FR"/>
                    </w:rPr>
                  </w:pPr>
                  <w:r>
                    <w:rPr>
                      <w:b/>
                      <w:bCs/>
                      <w:kern w:val="2"/>
                      <w:lang w:val="fr-FR"/>
                    </w:rPr>
                    <w:t>Montant mobilise sur la période de référence (en dollar USD) :</w:t>
                  </w:r>
                </w:p>
              </w:tc>
            </w:tr>
            <w:tr w:rsidR="001B58C7" w:rsidRPr="00ED3A8A" w14:paraId="16C56651" w14:textId="77777777">
              <w:trPr>
                <w:trHeight w:val="539"/>
              </w:trPr>
              <w:tc>
                <w:tcPr>
                  <w:tcW w:w="1642" w:type="dxa"/>
                </w:tcPr>
                <w:p w14:paraId="7BDF2F61" w14:textId="77777777" w:rsidR="001B58C7" w:rsidRDefault="001B58C7">
                  <w:pPr>
                    <w:spacing w:after="160" w:line="276" w:lineRule="auto"/>
                    <w:rPr>
                      <w:kern w:val="2"/>
                      <w:lang w:val="fr-FR"/>
                    </w:rPr>
                  </w:pPr>
                </w:p>
              </w:tc>
              <w:tc>
                <w:tcPr>
                  <w:tcW w:w="1642" w:type="dxa"/>
                </w:tcPr>
                <w:p w14:paraId="3C299F4A" w14:textId="77777777" w:rsidR="001B58C7" w:rsidRDefault="001B58C7">
                  <w:pPr>
                    <w:spacing w:after="160" w:line="276" w:lineRule="auto"/>
                    <w:rPr>
                      <w:kern w:val="2"/>
                      <w:lang w:val="fr-FR"/>
                    </w:rPr>
                  </w:pPr>
                </w:p>
              </w:tc>
              <w:tc>
                <w:tcPr>
                  <w:tcW w:w="1643" w:type="dxa"/>
                </w:tcPr>
                <w:p w14:paraId="23D0A7E3" w14:textId="77777777" w:rsidR="001B58C7" w:rsidRDefault="001B58C7">
                  <w:pPr>
                    <w:spacing w:after="160" w:line="276" w:lineRule="auto"/>
                    <w:rPr>
                      <w:kern w:val="2"/>
                      <w:lang w:val="fr-FR"/>
                    </w:rPr>
                  </w:pPr>
                </w:p>
              </w:tc>
            </w:tr>
          </w:tbl>
          <w:p w14:paraId="2DF2E368" w14:textId="77777777" w:rsidR="001B58C7" w:rsidRDefault="001B58C7">
            <w:pPr>
              <w:spacing w:after="160" w:line="276" w:lineRule="auto"/>
              <w:rPr>
                <w:kern w:val="2"/>
                <w:lang w:val="fr-FR"/>
              </w:rPr>
            </w:pPr>
          </w:p>
        </w:tc>
      </w:tr>
      <w:tr w:rsidR="001B58C7" w:rsidRPr="00ED3A8A" w14:paraId="094A9D34" w14:textId="77777777">
        <w:trPr>
          <w:trHeight w:val="300"/>
        </w:trPr>
        <w:tc>
          <w:tcPr>
            <w:tcW w:w="4410" w:type="dxa"/>
          </w:tcPr>
          <w:p w14:paraId="6A618B6E" w14:textId="77777777" w:rsidR="001B58C7" w:rsidRDefault="000F0E0E">
            <w:pPr>
              <w:spacing w:after="160" w:line="276" w:lineRule="auto"/>
              <w:rPr>
                <w:kern w:val="2"/>
                <w:lang w:val="fr-FR"/>
              </w:rPr>
            </w:pPr>
            <w:proofErr w:type="spellStart"/>
            <w:r>
              <w:rPr>
                <w:b/>
                <w:bCs/>
                <w:kern w:val="2"/>
                <w:u w:val="single"/>
                <w:lang w:val="fr-FR"/>
              </w:rPr>
              <w:t>Eﬀet</w:t>
            </w:r>
            <w:proofErr w:type="spellEnd"/>
            <w:r>
              <w:rPr>
                <w:b/>
                <w:bCs/>
                <w:kern w:val="2"/>
                <w:u w:val="single"/>
                <w:lang w:val="fr-FR"/>
              </w:rPr>
              <w:t xml:space="preserve"> catalytique (non </w:t>
            </w:r>
            <w:proofErr w:type="spellStart"/>
            <w:r>
              <w:rPr>
                <w:b/>
                <w:bCs/>
                <w:kern w:val="2"/>
                <w:u w:val="single"/>
                <w:lang w:val="fr-FR"/>
              </w:rPr>
              <w:t>ﬁnancier</w:t>
            </w:r>
            <w:proofErr w:type="spellEnd"/>
            <w:r>
              <w:rPr>
                <w:b/>
                <w:bCs/>
                <w:kern w:val="2"/>
                <w:u w:val="single"/>
                <w:lang w:val="fr-FR"/>
              </w:rPr>
              <w:t xml:space="preserve">) * </w:t>
            </w:r>
            <w:r>
              <w:rPr>
                <w:kern w:val="2"/>
                <w:lang w:val="fr-FR"/>
              </w:rPr>
              <w:t xml:space="preserve">: Le projet a-t-il permis ou créé un changement </w:t>
            </w:r>
            <w:r>
              <w:rPr>
                <w:kern w:val="2"/>
                <w:lang w:val="fr-FR"/>
              </w:rPr>
              <w:lastRenderedPageBreak/>
              <w:t xml:space="preserve">plus important ou à plus long terme dans la construction de la paix ? </w:t>
            </w:r>
          </w:p>
          <w:p w14:paraId="3B2EE80F" w14:textId="77777777" w:rsidR="001B58C7" w:rsidRDefault="000F0E0E">
            <w:pPr>
              <w:spacing w:after="160" w:line="276" w:lineRule="auto"/>
              <w:rPr>
                <w:b/>
                <w:bCs/>
                <w:color w:val="0000FF"/>
                <w:kern w:val="2"/>
                <w:lang w:val="fr-FR"/>
              </w:rPr>
            </w:pPr>
            <w:r>
              <w:rPr>
                <w:b/>
                <w:bCs/>
                <w:color w:val="0000FF"/>
                <w:kern w:val="2"/>
                <w:lang w:val="fr-FR"/>
              </w:rPr>
              <w:t>OUI.</w:t>
            </w:r>
          </w:p>
          <w:p w14:paraId="11894CE9" w14:textId="77777777" w:rsidR="001B58C7" w:rsidRDefault="000F0E0E">
            <w:pPr>
              <w:spacing w:after="160" w:line="276" w:lineRule="auto"/>
              <w:ind w:hanging="15"/>
              <w:rPr>
                <w:kern w:val="2"/>
                <w:lang w:val="fr-FR"/>
              </w:rPr>
            </w:pPr>
            <w:r>
              <w:rPr>
                <w:kern w:val="2"/>
                <w:lang w:val="fr-FR"/>
              </w:rPr>
              <w:t>Si oui, veuillez sélectionner l’option correspondante ci-dessous :</w:t>
            </w:r>
          </w:p>
          <w:p w14:paraId="5B5848BB" w14:textId="77777777" w:rsidR="001B58C7" w:rsidRDefault="000F0E0E">
            <w:pPr>
              <w:spacing w:after="160" w:line="276" w:lineRule="auto"/>
              <w:rPr>
                <w:kern w:val="2"/>
                <w:lang w:val="fr-FR"/>
              </w:rPr>
            </w:pPr>
            <w:r>
              <w:rPr>
                <w:kern w:val="2"/>
                <w:lang w:val="fr-FR"/>
              </w:rPr>
              <w:fldChar w:fldCharType="begin">
                <w:ffData>
                  <w:name w:val="Check3"/>
                  <w:enabled/>
                  <w:calcOnExit w:val="0"/>
                  <w:checkBox>
                    <w:sizeAuto/>
                    <w:default w:val="0"/>
                    <w:checked w:val="0"/>
                  </w:checkBox>
                </w:ffData>
              </w:fldChar>
            </w:r>
            <w:bookmarkStart w:id="12" w:name="Check3"/>
            <w:r>
              <w:rPr>
                <w:kern w:val="2"/>
                <w:lang w:val="fr-FR"/>
              </w:rPr>
              <w:instrText xml:space="preserve"> FORMCHECKBOX </w:instrText>
            </w:r>
            <w:r>
              <w:rPr>
                <w:kern w:val="2"/>
                <w:lang w:val="fr-FR"/>
              </w:rPr>
            </w:r>
            <w:r>
              <w:rPr>
                <w:kern w:val="2"/>
                <w:lang w:val="fr-FR"/>
              </w:rPr>
              <w:fldChar w:fldCharType="separate"/>
            </w:r>
            <w:r>
              <w:rPr>
                <w:kern w:val="2"/>
                <w:lang w:val="fr-FR"/>
              </w:rPr>
              <w:fldChar w:fldCharType="end"/>
            </w:r>
            <w:bookmarkEnd w:id="12"/>
            <w:r>
              <w:rPr>
                <w:kern w:val="2"/>
                <w:lang w:val="fr-FR"/>
              </w:rPr>
              <w:t xml:space="preserve"> Un certain effet catalytique </w:t>
            </w:r>
          </w:p>
          <w:bookmarkStart w:id="13" w:name="Check5"/>
          <w:p w14:paraId="64EB0FB7" w14:textId="77777777" w:rsidR="001B58C7" w:rsidRDefault="000F0E0E">
            <w:pPr>
              <w:spacing w:after="160" w:line="276" w:lineRule="auto"/>
              <w:rPr>
                <w:kern w:val="2"/>
                <w:lang w:val="fr-FR"/>
              </w:rPr>
            </w:pPr>
            <w:r>
              <w:rPr>
                <w:kern w:val="2"/>
                <w:lang w:val="fr-FR"/>
              </w:rPr>
              <w:fldChar w:fldCharType="begin">
                <w:ffData>
                  <w:name w:val="Check5"/>
                  <w:enabled/>
                  <w:calcOnExit w:val="0"/>
                  <w:checkBox>
                    <w:sizeAuto/>
                    <w:default w:val="1"/>
                    <w:checked/>
                  </w:checkBox>
                </w:ffData>
              </w:fldChar>
            </w:r>
            <w:r>
              <w:rPr>
                <w:kern w:val="2"/>
                <w:lang w:val="fr-FR"/>
              </w:rPr>
              <w:instrText>FORMCHECKBOX</w:instrText>
            </w:r>
            <w:r>
              <w:rPr>
                <w:kern w:val="2"/>
                <w:lang w:val="fr-FR"/>
              </w:rPr>
            </w:r>
            <w:r>
              <w:rPr>
                <w:kern w:val="2"/>
                <w:lang w:val="fr-FR"/>
              </w:rPr>
              <w:fldChar w:fldCharType="separate"/>
            </w:r>
            <w:r>
              <w:rPr>
                <w:kern w:val="2"/>
                <w:lang w:val="fr-FR"/>
              </w:rPr>
              <w:fldChar w:fldCharType="end"/>
            </w:r>
            <w:bookmarkEnd w:id="13"/>
            <w:r>
              <w:rPr>
                <w:kern w:val="2"/>
                <w:lang w:val="fr-FR"/>
              </w:rPr>
              <w:t xml:space="preserve"> </w:t>
            </w:r>
            <w:proofErr w:type="spellStart"/>
            <w:r>
              <w:rPr>
                <w:kern w:val="2"/>
                <w:lang w:val="fr-FR"/>
              </w:rPr>
              <w:t>Eﬀet</w:t>
            </w:r>
            <w:proofErr w:type="spellEnd"/>
            <w:r>
              <w:rPr>
                <w:kern w:val="2"/>
                <w:lang w:val="fr-FR"/>
              </w:rPr>
              <w:t xml:space="preserve"> catalytique important </w:t>
            </w:r>
          </w:p>
          <w:p w14:paraId="28C6BAE5" w14:textId="77777777" w:rsidR="001B58C7" w:rsidRDefault="001B58C7">
            <w:pPr>
              <w:spacing w:after="160" w:line="276" w:lineRule="auto"/>
              <w:rPr>
                <w:kern w:val="2"/>
                <w:lang w:val="fr-FR"/>
              </w:rPr>
            </w:pPr>
          </w:p>
        </w:tc>
        <w:tc>
          <w:tcPr>
            <w:tcW w:w="5153" w:type="dxa"/>
          </w:tcPr>
          <w:p w14:paraId="6AFCADBE" w14:textId="77777777" w:rsidR="001B58C7" w:rsidRDefault="000F0E0E">
            <w:pPr>
              <w:spacing w:after="160" w:line="276" w:lineRule="auto"/>
              <w:rPr>
                <w:kern w:val="2"/>
                <w:lang w:val="fr-FR"/>
              </w:rPr>
            </w:pPr>
            <w:r>
              <w:rPr>
                <w:kern w:val="2"/>
                <w:lang w:val="fr-FR"/>
              </w:rPr>
              <w:lastRenderedPageBreak/>
              <w:t xml:space="preserve">Le cas échéant, veuillez décrire comment le projet a eu un effet catalytique (non financier), c’est-à-dire qu’il a éliminé les obstacles au déblocage des processus politiques, institutionnels ou autres de </w:t>
            </w:r>
            <w:r>
              <w:rPr>
                <w:kern w:val="2"/>
                <w:lang w:val="fr-FR"/>
              </w:rPr>
              <w:lastRenderedPageBreak/>
              <w:t xml:space="preserve">consolidation de la paix bloqués à différents niveaux dans un pays, et/ou créé les conditions nécessaires à la mise en place de nouveaux processus à cette fin </w:t>
            </w:r>
            <w:r>
              <w:rPr>
                <w:i/>
                <w:iCs/>
                <w:kern w:val="2"/>
                <w:lang w:val="fr-FR"/>
              </w:rPr>
              <w:t>(3000 caractères)</w:t>
            </w:r>
            <w:r>
              <w:rPr>
                <w:kern w:val="2"/>
                <w:lang w:val="fr-FR"/>
              </w:rPr>
              <w:t xml:space="preserve"> :</w:t>
            </w:r>
          </w:p>
          <w:p w14:paraId="7AA247F5" w14:textId="77777777" w:rsidR="001B58C7" w:rsidRDefault="000F0E0E">
            <w:pPr>
              <w:pStyle w:val="NormalWeb"/>
              <w:spacing w:after="160" w:line="300" w:lineRule="atLeast"/>
              <w:jc w:val="both"/>
              <w:rPr>
                <w:kern w:val="2"/>
                <w:lang w:val="fr-FR"/>
              </w:rPr>
            </w:pPr>
            <w:r>
              <w:rPr>
                <w:rFonts w:eastAsia="Segoe UI"/>
                <w:kern w:val="2"/>
                <w:lang w:val="fr-FR"/>
              </w:rPr>
              <w:t>Le projet a généré un effet catalytique important en contribuant à lever plusieurs obstacles structurels qui entravaient les processus de consolidation de la paix dans les provinces du Kasaï et du Kasaï Central. En particulier, il a favorisé le déblocage des dynamiques de coopération entre les acteurs judiciaires, les autorités locales, les organisations de la société civile et les partenaires internationaux, créant ainsi un cadre plus cohérent et coordonné d’intervention.</w:t>
            </w:r>
          </w:p>
          <w:p w14:paraId="3EAF7E9C" w14:textId="77777777" w:rsidR="001B58C7" w:rsidRDefault="000F0E0E">
            <w:pPr>
              <w:pStyle w:val="NormalWeb"/>
              <w:spacing w:after="160" w:line="300" w:lineRule="atLeast"/>
              <w:jc w:val="both"/>
              <w:rPr>
                <w:kern w:val="2"/>
                <w:lang w:val="fr-FR"/>
              </w:rPr>
            </w:pPr>
            <w:r>
              <w:rPr>
                <w:rFonts w:eastAsia="Segoe UI"/>
                <w:kern w:val="2"/>
                <w:lang w:val="fr-FR"/>
              </w:rPr>
              <w:t>Tout d’abord, le projet a permis de rapprocher les populations affectées des institutions judiciaires à travers l’organisation d’audiences foraines et des mécanismes d’accompagnement des victimes. Cette approche a contribué à restaurer la confiance entre les citoyens et l’État, un facteur essentiel pour la stabilisation durable des zones post-conflit. En brisant les barrières d’accès à la justice, le projet a encouragé une plus grande participation des communautés aux processus formels de règlement des diff</w:t>
            </w:r>
            <w:r>
              <w:rPr>
                <w:rFonts w:eastAsia="Segoe UI"/>
                <w:kern w:val="2"/>
                <w:lang w:val="fr-FR"/>
              </w:rPr>
              <w:t>érends, réduisant ainsi les risques de recours à la justice privée ou à la violence.</w:t>
            </w:r>
          </w:p>
          <w:p w14:paraId="6D990335" w14:textId="77777777" w:rsidR="001B58C7" w:rsidRDefault="000F0E0E">
            <w:pPr>
              <w:pStyle w:val="NormalWeb"/>
              <w:spacing w:after="160" w:line="300" w:lineRule="atLeast"/>
              <w:jc w:val="both"/>
              <w:rPr>
                <w:kern w:val="2"/>
                <w:lang w:val="fr-FR"/>
              </w:rPr>
            </w:pPr>
            <w:r>
              <w:rPr>
                <w:rFonts w:eastAsia="Segoe UI"/>
                <w:kern w:val="2"/>
                <w:lang w:val="fr-FR"/>
              </w:rPr>
              <w:t>Ensuite, le projet a facilité l’intégration et la valorisation des acquis des initiatives antérieures financées par le PBF, notamment dans les domaines de la cohésion sociale et de la police de proximité. Cette capitalisation a permis de créer des synergies entre les programmes, d’éviter les duplications et de renforcer l’impact global des interventions. Elle a également contribué à l’ancrage institutionnel de certaines pratiques innovantes, favorisant leur appropriation par les acteurs nationaux.</w:t>
            </w:r>
          </w:p>
          <w:p w14:paraId="221CEE9C" w14:textId="77777777" w:rsidR="001B58C7" w:rsidRDefault="000F0E0E">
            <w:pPr>
              <w:pStyle w:val="NormalWeb"/>
              <w:spacing w:after="160" w:line="300" w:lineRule="atLeast"/>
              <w:jc w:val="both"/>
              <w:rPr>
                <w:kern w:val="2"/>
                <w:lang w:val="fr-FR"/>
              </w:rPr>
            </w:pPr>
            <w:r>
              <w:rPr>
                <w:rFonts w:eastAsia="Segoe UI"/>
                <w:kern w:val="2"/>
                <w:lang w:val="fr-FR"/>
              </w:rPr>
              <w:t xml:space="preserve">Enfin, le projet a contribué à créer un environnement propice à la poursuite des efforts de consolidation de la paix en renforçant les capacités des acteurs locaux et en stimulant leur engagement. L’émergence d’une masse critique d’intervenants formés et mobilisés constitue un levier important </w:t>
            </w:r>
            <w:r>
              <w:rPr>
                <w:rFonts w:eastAsia="Segoe UI"/>
                <w:kern w:val="2"/>
                <w:lang w:val="fr-FR"/>
              </w:rPr>
              <w:lastRenderedPageBreak/>
              <w:t>pour la durabilité des acquis et la mise en place de nouvelles initiatives.</w:t>
            </w:r>
          </w:p>
          <w:p w14:paraId="4AFA8EF1" w14:textId="77777777" w:rsidR="001B58C7" w:rsidRDefault="000F0E0E">
            <w:pPr>
              <w:pStyle w:val="NormalWeb"/>
              <w:spacing w:after="160" w:line="300" w:lineRule="atLeast"/>
              <w:jc w:val="both"/>
              <w:rPr>
                <w:rFonts w:eastAsia="Segoe UI"/>
                <w:kern w:val="2"/>
                <w:lang w:val="fr-FR"/>
              </w:rPr>
            </w:pPr>
            <w:r>
              <w:rPr>
                <w:rFonts w:eastAsia="Segoe UI"/>
                <w:kern w:val="2"/>
                <w:lang w:val="fr-FR"/>
              </w:rPr>
              <w:t>Dans l’ensemble, ces transformations illustrent le rôle catalytique du projet, qui a non seulement produit des résultats directs, mais également déclenché des dynamiques structurelles favorables à une paix durable et inclusive.</w:t>
            </w:r>
          </w:p>
        </w:tc>
      </w:tr>
      <w:tr w:rsidR="001B58C7" w:rsidRPr="00ED3A8A" w14:paraId="1BC11B0C" w14:textId="77777777">
        <w:trPr>
          <w:trHeight w:val="300"/>
        </w:trPr>
        <w:tc>
          <w:tcPr>
            <w:tcW w:w="9563" w:type="dxa"/>
            <w:gridSpan w:val="2"/>
          </w:tcPr>
          <w:p w14:paraId="0E7D8BB7" w14:textId="77777777" w:rsidR="001B58C7" w:rsidRDefault="000F0E0E">
            <w:pPr>
              <w:spacing w:after="160" w:line="276" w:lineRule="auto"/>
              <w:rPr>
                <w:i/>
                <w:iCs/>
                <w:kern w:val="2"/>
                <w:lang w:val="fr-FR"/>
              </w:rPr>
            </w:pPr>
            <w:r>
              <w:rPr>
                <w:b/>
                <w:bCs/>
                <w:i/>
                <w:iCs/>
                <w:kern w:val="2"/>
                <w:u w:val="single"/>
                <w:lang w:val="fr-FR"/>
              </w:rPr>
              <w:lastRenderedPageBreak/>
              <w:t>Durabilité :</w:t>
            </w:r>
            <w:r>
              <w:rPr>
                <w:i/>
                <w:iCs/>
                <w:kern w:val="2"/>
                <w:lang w:val="fr-FR"/>
              </w:rPr>
              <w:t xml:space="preserve"> Le projet a-t-il un plan de sortie explicite ? Veuillez décrire les mesures prises pour assurer la pérennisation des acquis de la consolidation de la paix au-delà de la durée du projet (3000 caractères) :</w:t>
            </w:r>
          </w:p>
          <w:p w14:paraId="0165AB53" w14:textId="77777777" w:rsidR="001B58C7" w:rsidRDefault="000F0E0E">
            <w:pPr>
              <w:spacing w:after="160" w:line="276" w:lineRule="auto"/>
              <w:jc w:val="both"/>
              <w:rPr>
                <w:kern w:val="2"/>
                <w:lang w:val="fr"/>
              </w:rPr>
            </w:pPr>
            <w:r>
              <w:rPr>
                <w:rFonts w:eastAsia="DengXian"/>
                <w:kern w:val="2"/>
                <w:lang w:val="fr" w:eastAsia="zh-CN" w:bidi="ar"/>
              </w:rPr>
              <w:t>Le projet PROJUST s’est doté d’un plan de sortie explicite, basé sur une approche progressive de transfert de compétences, d’appropriation locale et d’ancrage institutionnel, afin d’assurer la pérennisation des acquis en matière de consolidation de la paix au</w:t>
            </w:r>
            <w:r>
              <w:rPr>
                <w:rFonts w:eastAsia="DengXian"/>
                <w:kern w:val="2"/>
                <w:lang w:val="fr" w:eastAsia="zh-CN" w:bidi="ar"/>
              </w:rPr>
              <w:noBreakHyphen/>
              <w:t>delà du financement.</w:t>
            </w:r>
          </w:p>
          <w:p w14:paraId="346A3957" w14:textId="77777777" w:rsidR="001B58C7" w:rsidRDefault="000F0E0E">
            <w:pPr>
              <w:spacing w:after="160" w:line="276" w:lineRule="auto"/>
              <w:jc w:val="both"/>
              <w:rPr>
                <w:kern w:val="2"/>
                <w:lang w:val="fr"/>
              </w:rPr>
            </w:pPr>
            <w:r>
              <w:rPr>
                <w:rFonts w:eastAsia="DengXian"/>
                <w:kern w:val="2"/>
                <w:lang w:val="fr" w:eastAsia="zh-CN" w:bidi="ar"/>
              </w:rPr>
              <w:t>En premier lieu, le projet a renforcé les capacités des acteurs nationaux et locaux, notamment les institutions judiciaires, les autorités administratives et les organisations de la société civile. À travers des formations ciblées, des appuis techniques et des dispositifs tels que les audiences foraines, ces acteurs disposent désormais des compétences nécessaires pour poursuivre de manière autonome les actions liées à l’accès à la justice, à la lutte contre l’impunité et à la cohésion sociale.</w:t>
            </w:r>
          </w:p>
          <w:p w14:paraId="6A267C32" w14:textId="77777777" w:rsidR="001B58C7" w:rsidRDefault="000F0E0E">
            <w:pPr>
              <w:spacing w:after="160" w:line="276" w:lineRule="auto"/>
              <w:jc w:val="both"/>
              <w:rPr>
                <w:kern w:val="2"/>
                <w:lang w:val="fr"/>
              </w:rPr>
            </w:pPr>
            <w:r>
              <w:rPr>
                <w:rFonts w:eastAsia="DengXian"/>
                <w:kern w:val="2"/>
                <w:lang w:val="fr" w:eastAsia="zh-CN" w:bidi="ar"/>
              </w:rPr>
              <w:t>En second lieu, une appropriation locale effective a été encouragée dès la conception du projet. Les parties prenantes ont été impliquées à toutes les étapes, renforçant leur engagement institutionnel. Les cadres de concertation, plateformes de dialogue et mécanismes de coordination mis en place constituent des dispositifs fonctionnels appelés à être maintenus pour la prévention et la gestion des conflits.</w:t>
            </w:r>
          </w:p>
          <w:p w14:paraId="61777B57" w14:textId="77777777" w:rsidR="001B58C7" w:rsidRDefault="000F0E0E">
            <w:pPr>
              <w:spacing w:after="160" w:line="276" w:lineRule="auto"/>
              <w:jc w:val="both"/>
              <w:rPr>
                <w:kern w:val="2"/>
                <w:lang w:val="fr"/>
              </w:rPr>
            </w:pPr>
            <w:r>
              <w:rPr>
                <w:rFonts w:eastAsia="DengXian"/>
                <w:kern w:val="2"/>
                <w:lang w:val="fr" w:eastAsia="zh-CN" w:bidi="ar"/>
              </w:rPr>
              <w:t>Le projet a également capitalisé les acquis en documentant les bonnes pratiques et les leçons apprises, notamment en matière d’audiences foraines et de partenariats avec des acteurs spécialisés, afin de favoriser leur réplication et leur mise à l’échelle.</w:t>
            </w:r>
          </w:p>
          <w:p w14:paraId="3FC3B3CA" w14:textId="77777777" w:rsidR="001B58C7" w:rsidRDefault="000F0E0E">
            <w:pPr>
              <w:spacing w:after="160" w:line="276" w:lineRule="auto"/>
              <w:jc w:val="both"/>
              <w:rPr>
                <w:kern w:val="2"/>
                <w:lang w:val="fr"/>
              </w:rPr>
            </w:pPr>
            <w:r>
              <w:rPr>
                <w:rFonts w:eastAsia="DengXian"/>
                <w:kern w:val="2"/>
                <w:lang w:val="fr" w:eastAsia="zh-CN" w:bidi="ar"/>
              </w:rPr>
              <w:t>Par ailleurs, PROJUST s’inscrit dans une dynamique de continuité avec les interventions antérieures du PBF, contribuant à consolider les processus de stabilisation locaux. Les partenariats établis avec les agences des Nations Unies, les ONG internationales et les acteurs nationaux constituent un levier pour la mobilisation de ressources complémentaires.</w:t>
            </w:r>
          </w:p>
          <w:p w14:paraId="51D51789" w14:textId="77777777" w:rsidR="001B58C7" w:rsidRDefault="000F0E0E">
            <w:pPr>
              <w:spacing w:after="160" w:line="276" w:lineRule="auto"/>
              <w:jc w:val="both"/>
              <w:rPr>
                <w:kern w:val="2"/>
                <w:lang w:val="fr"/>
              </w:rPr>
            </w:pPr>
            <w:r>
              <w:rPr>
                <w:rFonts w:eastAsia="DengXian"/>
                <w:kern w:val="2"/>
                <w:lang w:val="fr" w:eastAsia="zh-CN" w:bidi="ar"/>
              </w:rPr>
              <w:t xml:space="preserve">Dans cette perspective, le </w:t>
            </w:r>
            <w:r>
              <w:rPr>
                <w:rFonts w:eastAsia="DengXian"/>
                <w:b/>
                <w:bCs/>
                <w:kern w:val="2"/>
                <w:lang w:val="fr" w:eastAsia="zh-CN" w:bidi="ar"/>
              </w:rPr>
              <w:t>FONAREV</w:t>
            </w:r>
            <w:r>
              <w:rPr>
                <w:rFonts w:eastAsia="DengXian"/>
                <w:kern w:val="2"/>
                <w:lang w:val="fr" w:eastAsia="zh-CN" w:bidi="ar"/>
              </w:rPr>
              <w:t xml:space="preserve"> joue un rôle clé pour assurer la continuité des mécanismes de réparation des victimes. Toutefois, la </w:t>
            </w:r>
            <w:r>
              <w:rPr>
                <w:rFonts w:eastAsia="DengXian"/>
                <w:b/>
                <w:bCs/>
                <w:kern w:val="2"/>
                <w:lang w:val="fr" w:eastAsia="zh-CN" w:bidi="ar"/>
              </w:rPr>
              <w:t>CPVJR du Kasaï Central</w:t>
            </w:r>
            <w:r>
              <w:rPr>
                <w:rFonts w:eastAsia="DengXian"/>
                <w:kern w:val="2"/>
                <w:lang w:val="fr" w:eastAsia="zh-CN" w:bidi="ar"/>
              </w:rPr>
              <w:t xml:space="preserve"> demeure dépendante des appuis extérieurs, ce qui souligne la nécessité de renforcer son ancrage institutionnel et sa prise en charge progressive par les autorités nationales.</w:t>
            </w:r>
          </w:p>
          <w:p w14:paraId="76F4C3B9" w14:textId="77777777" w:rsidR="001B58C7" w:rsidRDefault="000F0E0E">
            <w:pPr>
              <w:spacing w:after="160" w:line="276" w:lineRule="auto"/>
              <w:jc w:val="both"/>
              <w:rPr>
                <w:kern w:val="2"/>
                <w:lang w:val="fr"/>
              </w:rPr>
            </w:pPr>
            <w:r>
              <w:rPr>
                <w:rFonts w:eastAsia="DengXian"/>
                <w:kern w:val="2"/>
                <w:lang w:val="fr" w:eastAsia="zh-CN" w:bidi="ar"/>
              </w:rPr>
              <w:t>Enfin, le projet a contribué au renforcement de la résilience des communautés, en favorisant des mécanismes pacifiques de gestion des conflits et une meilleure revendication des droits.</w:t>
            </w:r>
          </w:p>
          <w:p w14:paraId="2705920F" w14:textId="77777777" w:rsidR="001B58C7" w:rsidRDefault="000F0E0E">
            <w:pPr>
              <w:spacing w:after="160" w:line="276" w:lineRule="auto"/>
              <w:jc w:val="both"/>
              <w:rPr>
                <w:rFonts w:eastAsia="Segoe UI"/>
                <w:kern w:val="2"/>
                <w:lang w:val="fr-FR"/>
              </w:rPr>
            </w:pPr>
            <w:r>
              <w:rPr>
                <w:rFonts w:eastAsia="DengXian"/>
                <w:kern w:val="2"/>
                <w:lang w:val="fr" w:eastAsia="zh-CN" w:bidi="ar"/>
              </w:rPr>
              <w:t>Dans l’ensemble, ces mesures permettent d’envisager une transition progressive vers une appropriation nationale renforcée, garantissant la durabilité des acquis au</w:t>
            </w:r>
            <w:r>
              <w:rPr>
                <w:rFonts w:eastAsia="DengXian"/>
                <w:kern w:val="2"/>
                <w:lang w:val="fr" w:eastAsia="zh-CN" w:bidi="ar"/>
              </w:rPr>
              <w:noBreakHyphen/>
              <w:t>delà du projet</w:t>
            </w:r>
            <w:r>
              <w:rPr>
                <w:rFonts w:eastAsia="DengXian"/>
                <w:kern w:val="2"/>
                <w:lang w:val="fr-FR" w:eastAsia="zh-CN" w:bidi="ar"/>
              </w:rPr>
              <w:t>.</w:t>
            </w:r>
          </w:p>
        </w:tc>
      </w:tr>
      <w:tr w:rsidR="001B58C7" w:rsidRPr="00ED3A8A" w14:paraId="153CA363" w14:textId="77777777">
        <w:trPr>
          <w:trHeight w:val="300"/>
        </w:trPr>
        <w:tc>
          <w:tcPr>
            <w:tcW w:w="9563" w:type="dxa"/>
            <w:gridSpan w:val="2"/>
          </w:tcPr>
          <w:p w14:paraId="5A376DC7" w14:textId="77777777" w:rsidR="001B58C7" w:rsidRDefault="000F0E0E">
            <w:pPr>
              <w:spacing w:after="160" w:line="276" w:lineRule="auto"/>
              <w:rPr>
                <w:i/>
                <w:iCs/>
                <w:kern w:val="2"/>
                <w:lang w:val="fr-FR"/>
              </w:rPr>
            </w:pPr>
            <w:r>
              <w:rPr>
                <w:b/>
                <w:bCs/>
                <w:kern w:val="2"/>
                <w:u w:val="single"/>
                <w:lang w:val="fr-FR"/>
              </w:rPr>
              <w:lastRenderedPageBreak/>
              <w:t>Autre</w:t>
            </w:r>
            <w:r>
              <w:rPr>
                <w:kern w:val="2"/>
                <w:lang w:val="fr-FR"/>
              </w:rPr>
              <w:t xml:space="preserve"> : </w:t>
            </w:r>
            <w:r>
              <w:rPr>
                <w:i/>
                <w:iCs/>
                <w:kern w:val="2"/>
                <w:lang w:val="fr-FR"/>
              </w:rPr>
              <w:t>Y a-t-il d'autres points concernant la mise en œuvre du projet que vous souhaitez partager, y compris sur les besoins en capacité des organisations bénéficiaires ? (3000 caractères)</w:t>
            </w:r>
          </w:p>
          <w:p w14:paraId="1B7B6401" w14:textId="77777777" w:rsidR="001B58C7" w:rsidRDefault="000F0E0E">
            <w:pPr>
              <w:pStyle w:val="NormalWeb"/>
              <w:spacing w:after="160" w:line="200" w:lineRule="atLeast"/>
              <w:jc w:val="both"/>
              <w:rPr>
                <w:kern w:val="2"/>
                <w:lang w:val="fr-FR"/>
              </w:rPr>
            </w:pPr>
            <w:r>
              <w:rPr>
                <w:rFonts w:eastAsia="Segoe UI"/>
                <w:kern w:val="2"/>
                <w:lang w:val="fr-FR"/>
              </w:rPr>
              <w:t>La mise en œuvre du projet a permis de dégager plusieurs enseignements clés relatifs aux capacités des organisations bénéficiaires et aux conditions nécessaires à l’optimisation de l’impact des interventions.</w:t>
            </w:r>
          </w:p>
          <w:p w14:paraId="67B845BD" w14:textId="77777777" w:rsidR="001B58C7" w:rsidRDefault="000F0E0E">
            <w:pPr>
              <w:pStyle w:val="NormalWeb"/>
              <w:spacing w:after="160" w:line="200" w:lineRule="atLeast"/>
              <w:jc w:val="both"/>
              <w:rPr>
                <w:kern w:val="2"/>
                <w:lang w:val="fr-FR"/>
              </w:rPr>
            </w:pPr>
            <w:r>
              <w:rPr>
                <w:rFonts w:eastAsia="Segoe UI"/>
                <w:kern w:val="2"/>
                <w:lang w:val="fr-FR"/>
              </w:rPr>
              <w:t>Tout d’abord, bien que des progrès significatifs aient été réalisés, les organisations locales de la société civile continuent de présenter des besoins importants en matière de renforcement des capacités techniques et institutionnelles. Les domaines prioritaires identifiés incluent la documentation des violations des droits humains, la gestion axée sur les résultats, le suivi-évaluation ainsi que les techniques de plaidoyer. Un appui plus structuré et inscrit dans la durée apparaît nécessaire afin de consol</w:t>
            </w:r>
            <w:r>
              <w:rPr>
                <w:rFonts w:eastAsia="Segoe UI"/>
                <w:kern w:val="2"/>
                <w:lang w:val="fr-FR"/>
              </w:rPr>
              <w:t>ider les acquis et de renforcer leur rôle en tant qu’acteurs de première ligne dans la consolidation de la paix.</w:t>
            </w:r>
          </w:p>
          <w:p w14:paraId="23585986" w14:textId="77777777" w:rsidR="001B58C7" w:rsidRDefault="000F0E0E">
            <w:pPr>
              <w:pStyle w:val="NormalWeb"/>
              <w:spacing w:after="160" w:line="200" w:lineRule="atLeast"/>
              <w:jc w:val="both"/>
              <w:rPr>
                <w:kern w:val="2"/>
                <w:lang w:val="fr-FR"/>
              </w:rPr>
            </w:pPr>
            <w:r>
              <w:rPr>
                <w:rFonts w:eastAsia="Segoe UI"/>
                <w:kern w:val="2"/>
                <w:lang w:val="fr-FR"/>
              </w:rPr>
              <w:t>En ce qui concerne le secteur judiciaire, les appuis fournis ont permis d’améliorer les pratiques, notamment à travers les audiences foraines. Toutefois, des besoins persistants demeurent en matière de traitement des crimes liés aux conflits, de protection des victimes et des témoins, ainsi que d’organisation et de gestion des audiences. Le maintien d’un accompagnement technique et logistique est essentiel pour garantir la continuité et la qualité des efforts engagés.</w:t>
            </w:r>
          </w:p>
          <w:p w14:paraId="0F6F38CF" w14:textId="77777777" w:rsidR="001B58C7" w:rsidRDefault="000F0E0E">
            <w:pPr>
              <w:pStyle w:val="NormalWeb"/>
              <w:spacing w:after="160" w:line="200" w:lineRule="atLeast"/>
              <w:jc w:val="both"/>
              <w:rPr>
                <w:kern w:val="2"/>
                <w:lang w:val="fr-FR"/>
              </w:rPr>
            </w:pPr>
            <w:r>
              <w:rPr>
                <w:rFonts w:eastAsia="Segoe UI"/>
                <w:kern w:val="2"/>
                <w:lang w:val="fr-FR"/>
              </w:rPr>
              <w:t>Par ailleurs, des contraintes logistiques et infrastructurelles ont affecté la mise en œuvre, notamment l’accès difficile à certaines zones, l’insuffisance des moyens de transport et la faiblesse des infrastructures judiciaires. Ces défis ont limité la couverture des interventions et soulignent la nécessité de prévoir des ressources adaptées pour améliorer l’accessibilité et l’équité territoriale.</w:t>
            </w:r>
          </w:p>
          <w:p w14:paraId="38E3097C" w14:textId="77777777" w:rsidR="001B58C7" w:rsidRDefault="000F0E0E">
            <w:pPr>
              <w:pStyle w:val="NormalWeb"/>
              <w:spacing w:after="160" w:line="200" w:lineRule="atLeast"/>
              <w:jc w:val="both"/>
              <w:rPr>
                <w:kern w:val="2"/>
                <w:lang w:val="fr-FR"/>
              </w:rPr>
            </w:pPr>
            <w:r>
              <w:rPr>
                <w:rFonts w:eastAsia="Segoe UI"/>
                <w:kern w:val="2"/>
                <w:lang w:val="fr-FR"/>
              </w:rPr>
              <w:t>Le projet a également mis en évidence l’importance d’une coordination renforcée entre les différents acteurs du secteur. Les cadres de concertation mis en place ont contribué à améliorer les échanges, mais leur formalisation et leur institutionnalisation restent nécessaires afin d’assurer une meilleure cohérence des interventions et de limiter les duplications.</w:t>
            </w:r>
          </w:p>
          <w:p w14:paraId="78EF9AEE" w14:textId="77777777" w:rsidR="001B58C7" w:rsidRDefault="000F0E0E">
            <w:pPr>
              <w:pStyle w:val="NormalWeb"/>
              <w:spacing w:after="160" w:line="200" w:lineRule="atLeast"/>
              <w:jc w:val="both"/>
              <w:rPr>
                <w:kern w:val="2"/>
                <w:lang w:val="fr-FR"/>
              </w:rPr>
            </w:pPr>
            <w:r>
              <w:rPr>
                <w:rFonts w:eastAsia="Segoe UI"/>
                <w:kern w:val="2"/>
                <w:lang w:val="fr-FR"/>
              </w:rPr>
              <w:t>En outre, des efforts supplémentaires sont requis pour promouvoir une inclusion effective des femmes, des jeunes et des groupes vulnérables. Leur participation accrue dans les mécanismes de justice et de gestion des conflits constitue un facteur clé de légitimité, d’appropriation et de durabilité.</w:t>
            </w:r>
          </w:p>
          <w:p w14:paraId="1B17A834" w14:textId="77777777" w:rsidR="001B58C7" w:rsidRDefault="000F0E0E">
            <w:pPr>
              <w:pStyle w:val="NormalWeb"/>
              <w:spacing w:after="160" w:line="200" w:lineRule="atLeast"/>
              <w:jc w:val="both"/>
              <w:rPr>
                <w:kern w:val="2"/>
                <w:lang w:val="fr-FR"/>
              </w:rPr>
            </w:pPr>
            <w:r>
              <w:rPr>
                <w:rFonts w:eastAsia="Segoe UI"/>
                <w:kern w:val="2"/>
                <w:lang w:val="fr-FR"/>
              </w:rPr>
              <w:t>Enfin, l’expérience du projet confirme l’importance d’une approche flexible et adaptative. La capacité à ajuster les stratégies en fonction de l’évolution du contexte a été déterminante pour l’atteinte des résultats et devrait être davantage intégrée dans les futurs programmes.</w:t>
            </w:r>
          </w:p>
          <w:p w14:paraId="759CA396" w14:textId="77777777" w:rsidR="001B58C7" w:rsidRDefault="000F0E0E">
            <w:pPr>
              <w:pStyle w:val="NormalWeb"/>
              <w:spacing w:after="160" w:line="200" w:lineRule="atLeast"/>
              <w:jc w:val="both"/>
              <w:rPr>
                <w:kern w:val="2"/>
                <w:lang w:val="fr-FR"/>
              </w:rPr>
            </w:pPr>
            <w:r>
              <w:rPr>
                <w:rFonts w:eastAsia="Segoe UI"/>
                <w:kern w:val="2"/>
                <w:lang w:val="fr-FR"/>
              </w:rPr>
              <w:t>Ces différents éléments soulignent l’importance de poursuivre les efforts de renforcement des capacités et d’adaptation des interventions afin de consolider les acquis et d’assurer un impact durable.</w:t>
            </w:r>
          </w:p>
        </w:tc>
      </w:tr>
    </w:tbl>
    <w:p w14:paraId="5254C409" w14:textId="77777777" w:rsidR="001B58C7" w:rsidRDefault="001B58C7">
      <w:pPr>
        <w:pStyle w:val="PrformatHTML"/>
        <w:shd w:val="clear" w:color="auto" w:fill="FFFFFF"/>
        <w:rPr>
          <w:rFonts w:ascii="Times New Roman" w:hAnsi="Times New Roman" w:cs="Times New Roman"/>
          <w:b/>
          <w:sz w:val="24"/>
          <w:szCs w:val="24"/>
          <w:u w:val="single"/>
          <w:lang w:val="fr-FR" w:eastAsia="en-GB"/>
        </w:rPr>
      </w:pPr>
    </w:p>
    <w:p w14:paraId="18F17A85" w14:textId="77777777" w:rsidR="001B58C7" w:rsidRDefault="000F0E0E">
      <w:pPr>
        <w:rPr>
          <w:b/>
          <w:bCs/>
          <w:u w:val="single"/>
          <w:vertAlign w:val="superscript"/>
          <w:lang w:val="fr-FR"/>
        </w:rPr>
      </w:pPr>
      <w:r>
        <w:rPr>
          <w:b/>
          <w:bCs/>
          <w:u w:val="single"/>
          <w:lang w:val="fr-FR"/>
        </w:rPr>
        <w:t>Activités de suivi et de contrôle</w:t>
      </w:r>
      <w:r>
        <w:rPr>
          <w:rStyle w:val="Appeldenotedefin"/>
          <w:b/>
          <w:bCs/>
          <w:u w:val="single"/>
          <w:lang w:val="fr-FR"/>
        </w:rPr>
        <w:endnoteReference w:id="1"/>
      </w:r>
    </w:p>
    <w:p w14:paraId="02F5ED5A" w14:textId="77777777" w:rsidR="001B58C7" w:rsidRDefault="001B58C7">
      <w:pPr>
        <w:rPr>
          <w:highlight w:val="yellow"/>
          <w:lang w:val="fr-FR"/>
        </w:rPr>
      </w:pPr>
    </w:p>
    <w:tbl>
      <w:tblPr>
        <w:tblStyle w:val="Grilledutableau"/>
        <w:tblW w:w="9540" w:type="dxa"/>
        <w:tblInd w:w="-185" w:type="dxa"/>
        <w:tblLook w:val="04A0" w:firstRow="1" w:lastRow="0" w:firstColumn="1" w:lastColumn="0" w:noHBand="0" w:noVBand="1"/>
      </w:tblPr>
      <w:tblGrid>
        <w:gridCol w:w="2880"/>
        <w:gridCol w:w="3420"/>
        <w:gridCol w:w="3240"/>
      </w:tblGrid>
      <w:tr w:rsidR="001B58C7" w14:paraId="308122FE" w14:textId="77777777">
        <w:trPr>
          <w:trHeight w:val="300"/>
        </w:trPr>
        <w:tc>
          <w:tcPr>
            <w:tcW w:w="2880" w:type="dxa"/>
          </w:tcPr>
          <w:p w14:paraId="2F9F4F8B" w14:textId="77777777" w:rsidR="001B58C7" w:rsidRDefault="000F0E0E">
            <w:pPr>
              <w:spacing w:after="160" w:line="276" w:lineRule="auto"/>
              <w:jc w:val="center"/>
              <w:rPr>
                <w:b/>
                <w:bCs/>
                <w:kern w:val="2"/>
                <w:lang w:val="fr-FR"/>
              </w:rPr>
            </w:pPr>
            <w:r>
              <w:rPr>
                <w:b/>
                <w:bCs/>
                <w:kern w:val="2"/>
                <w:lang w:val="fr-FR"/>
              </w:rPr>
              <w:t>Nom de l’événement</w:t>
            </w:r>
          </w:p>
        </w:tc>
        <w:tc>
          <w:tcPr>
            <w:tcW w:w="3420" w:type="dxa"/>
          </w:tcPr>
          <w:p w14:paraId="0DBB43AB" w14:textId="77777777" w:rsidR="001B58C7" w:rsidRDefault="000F0E0E">
            <w:pPr>
              <w:spacing w:after="160" w:line="276" w:lineRule="auto"/>
              <w:jc w:val="center"/>
              <w:rPr>
                <w:b/>
                <w:bCs/>
                <w:kern w:val="2"/>
                <w:lang w:val="fr-FR"/>
              </w:rPr>
            </w:pPr>
            <w:r>
              <w:rPr>
                <w:b/>
                <w:bCs/>
                <w:kern w:val="2"/>
                <w:lang w:val="fr-FR"/>
              </w:rPr>
              <w:t>Résumé</w:t>
            </w:r>
          </w:p>
        </w:tc>
        <w:tc>
          <w:tcPr>
            <w:tcW w:w="3240" w:type="dxa"/>
          </w:tcPr>
          <w:p w14:paraId="641FBC21" w14:textId="77777777" w:rsidR="001B58C7" w:rsidRDefault="000F0E0E">
            <w:pPr>
              <w:spacing w:after="160" w:line="276" w:lineRule="auto"/>
              <w:jc w:val="center"/>
              <w:rPr>
                <w:b/>
                <w:bCs/>
                <w:kern w:val="2"/>
                <w:lang w:val="fr-FR"/>
              </w:rPr>
            </w:pPr>
            <w:r>
              <w:rPr>
                <w:b/>
                <w:bCs/>
                <w:kern w:val="2"/>
                <w:lang w:val="fr-FR"/>
              </w:rPr>
              <w:t>Constatations</w:t>
            </w:r>
          </w:p>
        </w:tc>
      </w:tr>
      <w:tr w:rsidR="001B58C7" w:rsidRPr="00ED3A8A" w14:paraId="7E1B60A0" w14:textId="77777777">
        <w:trPr>
          <w:trHeight w:val="300"/>
        </w:trPr>
        <w:tc>
          <w:tcPr>
            <w:tcW w:w="2880" w:type="dxa"/>
          </w:tcPr>
          <w:p w14:paraId="65283E6A" w14:textId="77777777" w:rsidR="001B58C7" w:rsidRDefault="000F0E0E">
            <w:pPr>
              <w:spacing w:after="160" w:line="276" w:lineRule="auto"/>
              <w:rPr>
                <w:color w:val="0000FF"/>
                <w:kern w:val="2"/>
                <w:lang w:val="fr-FR"/>
              </w:rPr>
            </w:pPr>
            <w:r>
              <w:rPr>
                <w:kern w:val="2"/>
                <w:lang w:val="fr-FR"/>
              </w:rPr>
              <w:lastRenderedPageBreak/>
              <w:t>Mission de suivi &amp; d’évaluation conduite par le S-PBF au Kasai &amp; au Kasai central du 15 au 23 mai 2026, couplée à la mission d’observation des acquis des interventions antérieures du S-PBF au Kasai &amp; Kasai Central.</w:t>
            </w:r>
          </w:p>
        </w:tc>
        <w:tc>
          <w:tcPr>
            <w:tcW w:w="3420" w:type="dxa"/>
          </w:tcPr>
          <w:p w14:paraId="53EF6809" w14:textId="77777777" w:rsidR="001B58C7" w:rsidRDefault="000F0E0E">
            <w:pPr>
              <w:pStyle w:val="NormalWeb"/>
              <w:spacing w:after="160" w:line="200" w:lineRule="atLeast"/>
              <w:jc w:val="both"/>
              <w:rPr>
                <w:kern w:val="2"/>
                <w:lang w:val="fr-FR"/>
              </w:rPr>
            </w:pPr>
            <w:r>
              <w:rPr>
                <w:rFonts w:eastAsia="Segoe UI"/>
                <w:kern w:val="2"/>
                <w:lang w:val="fr-FR"/>
              </w:rPr>
              <w:t>La mission a été conduite à travers deux équipes distinctes, déployées respectivement dans les provinces du Kasaï et du Kasaï Central. Cette organisation opérationnelle a permis d’assurer une couverture simultanée et efficace des zones d’intervention, facilitant ainsi la collecte des données, les échanges avec les parties prenantes ainsi que l’analyse comparative des progrès réalisés dans les deux provinces.</w:t>
            </w:r>
          </w:p>
          <w:p w14:paraId="227700F5" w14:textId="77777777" w:rsidR="001B58C7" w:rsidRDefault="000F0E0E">
            <w:pPr>
              <w:pStyle w:val="NormalWeb"/>
              <w:spacing w:after="160" w:line="200" w:lineRule="atLeast"/>
              <w:jc w:val="both"/>
              <w:rPr>
                <w:kern w:val="2"/>
                <w:lang w:val="fr-FR"/>
              </w:rPr>
            </w:pPr>
            <w:r>
              <w:rPr>
                <w:rFonts w:eastAsia="Segoe UI"/>
                <w:kern w:val="2"/>
                <w:lang w:val="fr-FR"/>
              </w:rPr>
              <w:t>Par ailleurs, la mission a offert l’opportunité aux équipes conjointement déployées sur le terrain de constater de manière concrète les acquis des projets antérieurs financés par le S</w:t>
            </w:r>
            <w:r>
              <w:rPr>
                <w:rFonts w:eastAsia="Segoe UI"/>
                <w:kern w:val="2"/>
                <w:lang w:val="fr-FR"/>
              </w:rPr>
              <w:noBreakHyphen/>
              <w:t xml:space="preserve">PBF. À cet égard, la visite du village </w:t>
            </w:r>
            <w:proofErr w:type="spellStart"/>
            <w:r>
              <w:rPr>
                <w:rFonts w:eastAsia="Segoe UI"/>
                <w:kern w:val="2"/>
                <w:lang w:val="fr-FR"/>
              </w:rPr>
              <w:t>Kamuina</w:t>
            </w:r>
            <w:proofErr w:type="spellEnd"/>
            <w:r>
              <w:rPr>
                <w:rFonts w:eastAsia="Segoe UI"/>
                <w:kern w:val="2"/>
                <w:lang w:val="fr-FR"/>
              </w:rPr>
              <w:t xml:space="preserve"> </w:t>
            </w:r>
            <w:proofErr w:type="spellStart"/>
            <w:r>
              <w:rPr>
                <w:rFonts w:eastAsia="Segoe UI"/>
                <w:kern w:val="2"/>
                <w:lang w:val="fr-FR"/>
              </w:rPr>
              <w:t>Nsapu</w:t>
            </w:r>
            <w:proofErr w:type="spellEnd"/>
            <w:r>
              <w:rPr>
                <w:rFonts w:eastAsia="Segoe UI"/>
                <w:kern w:val="2"/>
                <w:lang w:val="fr-FR"/>
              </w:rPr>
              <w:t xml:space="preserve">, dans le territoire de </w:t>
            </w:r>
            <w:proofErr w:type="spellStart"/>
            <w:r>
              <w:rPr>
                <w:rFonts w:eastAsia="Segoe UI"/>
                <w:kern w:val="2"/>
                <w:lang w:val="fr-FR"/>
              </w:rPr>
              <w:t>Dibaya</w:t>
            </w:r>
            <w:proofErr w:type="spellEnd"/>
            <w:r>
              <w:rPr>
                <w:rFonts w:eastAsia="Segoe UI"/>
                <w:kern w:val="2"/>
                <w:lang w:val="fr-FR"/>
              </w:rPr>
              <w:t xml:space="preserve"> au Kasaï Central, a permis de mesurer les effets des interventions passées, notamment en matière de cohésion sociale, de résilience communautaire et de relance des dynamiques locales de paix.</w:t>
            </w:r>
          </w:p>
          <w:p w14:paraId="4A6C68C2" w14:textId="77777777" w:rsidR="001B58C7" w:rsidRDefault="001B58C7">
            <w:pPr>
              <w:spacing w:after="160" w:line="276" w:lineRule="auto"/>
              <w:jc w:val="both"/>
              <w:rPr>
                <w:color w:val="0000FF"/>
                <w:kern w:val="2"/>
                <w:lang w:val="fr-FR"/>
              </w:rPr>
            </w:pPr>
          </w:p>
        </w:tc>
        <w:tc>
          <w:tcPr>
            <w:tcW w:w="3240" w:type="dxa"/>
          </w:tcPr>
          <w:p w14:paraId="3BFBA555" w14:textId="77777777" w:rsidR="001B58C7" w:rsidRDefault="000F0E0E">
            <w:pPr>
              <w:pStyle w:val="NormalWeb"/>
              <w:spacing w:after="160" w:line="200" w:lineRule="atLeast"/>
              <w:jc w:val="both"/>
              <w:rPr>
                <w:kern w:val="2"/>
                <w:lang w:val="fr-FR"/>
              </w:rPr>
            </w:pPr>
            <w:r>
              <w:rPr>
                <w:rFonts w:eastAsia="Segoe UI"/>
                <w:kern w:val="2"/>
                <w:lang w:val="fr-FR"/>
              </w:rPr>
              <w:t>Les constatations effectuées sur le terrain mettent en évidence des avancées significatives en matière de cohésion sociale, désormais perceptible entre des communautés jadis antagonistes. Les dynamiques de rapprochement et de collaboration observées témoignent d’une amélioration progressive des relations sociales et d’un climat de confiance renouvelé.</w:t>
            </w:r>
          </w:p>
          <w:p w14:paraId="400272F7" w14:textId="77777777" w:rsidR="001B58C7" w:rsidRDefault="000F0E0E">
            <w:pPr>
              <w:pStyle w:val="NormalWeb"/>
              <w:spacing w:after="160" w:line="200" w:lineRule="atLeast"/>
              <w:jc w:val="both"/>
              <w:rPr>
                <w:kern w:val="2"/>
                <w:lang w:val="fr-FR"/>
              </w:rPr>
            </w:pPr>
            <w:r>
              <w:rPr>
                <w:rFonts w:eastAsia="Segoe UI"/>
                <w:kern w:val="2"/>
                <w:lang w:val="fr-FR"/>
              </w:rPr>
              <w:t xml:space="preserve">Par ailleurs, les investissements réalisés en faveur de la relance des échanges économiques se traduisent concrètement par l’amélioration des infrastructures locales. L’aménagement de la route de desserte agricole ainsi que la réhabilitation du pont dans le village </w:t>
            </w:r>
            <w:proofErr w:type="spellStart"/>
            <w:r>
              <w:rPr>
                <w:rFonts w:eastAsia="Segoe UI"/>
                <w:kern w:val="2"/>
                <w:lang w:val="fr-FR"/>
              </w:rPr>
              <w:t>Kamuina</w:t>
            </w:r>
            <w:proofErr w:type="spellEnd"/>
            <w:r>
              <w:rPr>
                <w:rFonts w:eastAsia="Segoe UI"/>
                <w:kern w:val="2"/>
                <w:lang w:val="fr-FR"/>
              </w:rPr>
              <w:t xml:space="preserve"> </w:t>
            </w:r>
            <w:proofErr w:type="spellStart"/>
            <w:r>
              <w:rPr>
                <w:rFonts w:eastAsia="Segoe UI"/>
                <w:kern w:val="2"/>
                <w:lang w:val="fr-FR"/>
              </w:rPr>
              <w:t>Nsapu</w:t>
            </w:r>
            <w:proofErr w:type="spellEnd"/>
            <w:r>
              <w:rPr>
                <w:rFonts w:eastAsia="Segoe UI"/>
                <w:kern w:val="2"/>
                <w:lang w:val="fr-FR"/>
              </w:rPr>
              <w:t xml:space="preserve"> ont permis de faciliter la circulation des personnes et des biens, favorisant ainsi le développement des échanges commerciaux.</w:t>
            </w:r>
          </w:p>
          <w:p w14:paraId="39013357" w14:textId="77777777" w:rsidR="001B58C7" w:rsidRDefault="000F0E0E">
            <w:pPr>
              <w:pStyle w:val="NormalWeb"/>
              <w:spacing w:after="160" w:line="200" w:lineRule="atLeast"/>
              <w:jc w:val="both"/>
              <w:rPr>
                <w:color w:val="0000FF"/>
                <w:kern w:val="2"/>
                <w:lang w:val="fr-FR"/>
              </w:rPr>
            </w:pPr>
            <w:r>
              <w:rPr>
                <w:rFonts w:eastAsia="Segoe UI"/>
                <w:kern w:val="2"/>
                <w:lang w:val="fr-FR"/>
              </w:rPr>
              <w:t>Ces interactions économiques contribuent directement à la consolidation de la paix, en renforçant l’interdépendance entre les communautés autrefois divisées. Elles ont également un effet d’entraînement au-delà du périmètre local, en facilitant les échanges avec la province voisine du Kasaï Oriental, renforçant ainsi les liens intercommunautaires et interprovinciaux.</w:t>
            </w:r>
          </w:p>
        </w:tc>
      </w:tr>
      <w:tr w:rsidR="001B58C7" w:rsidRPr="00ED3A8A" w14:paraId="5DC52831" w14:textId="77777777">
        <w:trPr>
          <w:trHeight w:val="300"/>
        </w:trPr>
        <w:tc>
          <w:tcPr>
            <w:tcW w:w="2880" w:type="dxa"/>
          </w:tcPr>
          <w:p w14:paraId="7B56DA06" w14:textId="77777777" w:rsidR="001B58C7" w:rsidRDefault="001B58C7">
            <w:pPr>
              <w:spacing w:after="160" w:line="276" w:lineRule="auto"/>
              <w:rPr>
                <w:kern w:val="2"/>
                <w:lang w:val="fr-FR"/>
              </w:rPr>
            </w:pPr>
          </w:p>
        </w:tc>
        <w:tc>
          <w:tcPr>
            <w:tcW w:w="3420" w:type="dxa"/>
          </w:tcPr>
          <w:p w14:paraId="4DF71AC7" w14:textId="77777777" w:rsidR="001B58C7" w:rsidRDefault="001B58C7">
            <w:pPr>
              <w:spacing w:after="160" w:line="276" w:lineRule="auto"/>
              <w:rPr>
                <w:kern w:val="2"/>
                <w:lang w:val="fr-FR"/>
              </w:rPr>
            </w:pPr>
          </w:p>
        </w:tc>
        <w:tc>
          <w:tcPr>
            <w:tcW w:w="3240" w:type="dxa"/>
          </w:tcPr>
          <w:p w14:paraId="1BCB3536" w14:textId="77777777" w:rsidR="001B58C7" w:rsidRDefault="001B58C7">
            <w:pPr>
              <w:spacing w:after="160" w:line="276" w:lineRule="auto"/>
              <w:rPr>
                <w:kern w:val="2"/>
                <w:lang w:val="fr-FR"/>
              </w:rPr>
            </w:pPr>
          </w:p>
        </w:tc>
      </w:tr>
      <w:tr w:rsidR="001B58C7" w:rsidRPr="00ED3A8A" w14:paraId="7AAC51BD" w14:textId="77777777">
        <w:trPr>
          <w:trHeight w:val="300"/>
        </w:trPr>
        <w:tc>
          <w:tcPr>
            <w:tcW w:w="2880" w:type="dxa"/>
          </w:tcPr>
          <w:p w14:paraId="6FA3B5E4" w14:textId="77777777" w:rsidR="001B58C7" w:rsidRDefault="001B58C7">
            <w:pPr>
              <w:spacing w:after="160" w:line="276" w:lineRule="auto"/>
              <w:rPr>
                <w:kern w:val="2"/>
                <w:lang w:val="fr-FR"/>
              </w:rPr>
            </w:pPr>
          </w:p>
        </w:tc>
        <w:tc>
          <w:tcPr>
            <w:tcW w:w="3420" w:type="dxa"/>
          </w:tcPr>
          <w:p w14:paraId="7685E0B7" w14:textId="77777777" w:rsidR="001B58C7" w:rsidRDefault="001B58C7">
            <w:pPr>
              <w:spacing w:after="160" w:line="276" w:lineRule="auto"/>
              <w:rPr>
                <w:kern w:val="2"/>
                <w:lang w:val="fr-FR"/>
              </w:rPr>
            </w:pPr>
          </w:p>
        </w:tc>
        <w:tc>
          <w:tcPr>
            <w:tcW w:w="3240" w:type="dxa"/>
          </w:tcPr>
          <w:p w14:paraId="090AB41C" w14:textId="77777777" w:rsidR="001B58C7" w:rsidRDefault="001B58C7">
            <w:pPr>
              <w:spacing w:after="160" w:line="276" w:lineRule="auto"/>
              <w:rPr>
                <w:kern w:val="2"/>
                <w:lang w:val="fr-FR"/>
              </w:rPr>
            </w:pPr>
          </w:p>
        </w:tc>
      </w:tr>
    </w:tbl>
    <w:p w14:paraId="3FC8A902" w14:textId="77777777" w:rsidR="001B58C7" w:rsidRDefault="001B58C7">
      <w:pPr>
        <w:pStyle w:val="PrformatHTML"/>
        <w:shd w:val="clear" w:color="auto" w:fill="FFFFFF"/>
        <w:rPr>
          <w:rFonts w:ascii="Times New Roman" w:hAnsi="Times New Roman" w:cs="Times New Roman"/>
          <w:b/>
          <w:sz w:val="24"/>
          <w:szCs w:val="24"/>
          <w:u w:val="single"/>
          <w:lang w:val="fr-FR" w:eastAsia="en-GB"/>
        </w:rPr>
      </w:pPr>
    </w:p>
    <w:sectPr w:rsidR="001B58C7">
      <w:headerReference w:type="default" r:id="rId15"/>
      <w:pgSz w:w="11906" w:h="16838"/>
      <w:pgMar w:top="171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ABA49" w14:textId="77777777" w:rsidR="000F0E0E" w:rsidRDefault="000F0E0E">
      <w:r>
        <w:separator/>
      </w:r>
    </w:p>
  </w:endnote>
  <w:endnote w:type="continuationSeparator" w:id="0">
    <w:p w14:paraId="5BF70B2D" w14:textId="77777777" w:rsidR="000F0E0E" w:rsidRDefault="000F0E0E">
      <w:r>
        <w:continuationSeparator/>
      </w:r>
    </w:p>
  </w:endnote>
  <w:endnote w:id="1">
    <w:p w14:paraId="2282D89D" w14:textId="77777777" w:rsidR="001B58C7" w:rsidRDefault="000F0E0E">
      <w:pPr>
        <w:pStyle w:val="Notedefin"/>
        <w:rPr>
          <w:lang w:val="fr-FR"/>
        </w:rPr>
      </w:pPr>
      <w:r>
        <w:rPr>
          <w:rStyle w:val="Appeldenotedefin"/>
        </w:rPr>
        <w:endnoteRef/>
      </w:r>
      <w:r>
        <w:rPr>
          <w:lang w:val="fr-FR"/>
        </w:rPr>
        <w:t xml:space="preserve"> Notamment des réunions du comité de pilotage, des visites de surveillance, de la surveillance par des tiers, de la surveillance communautaire, de toute collecte de données, de la perception ou d'autres résultats d'enquête, des rapports d'évaluation, des audits ou des enquêtes.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Times New Roman"/>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NewRomanPS-BoldMT">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inherit">
    <w:altName w:val="Cambria"/>
    <w:charset w:val="00"/>
    <w:family w:val="roman"/>
    <w:pitch w:val="default"/>
  </w:font>
  <w:font w:name="DengXian">
    <w:panose1 w:val="02010600030101010101"/>
    <w:charset w:val="86"/>
    <w:family w:val="auto"/>
    <w:pitch w:val="variable"/>
    <w:sig w:usb0="A00002BF" w:usb1="38CF7CFA" w:usb2="00000016" w:usb3="00000000" w:csb0="0004000F" w:csb1="00000000"/>
  </w:font>
  <w:font w:name="Constantia">
    <w:panose1 w:val="02030602050306030303"/>
    <w:charset w:val="00"/>
    <w:family w:val="roman"/>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771CD" w14:textId="77777777" w:rsidR="000F0E0E" w:rsidRDefault="000F0E0E">
      <w:r>
        <w:separator/>
      </w:r>
    </w:p>
  </w:footnote>
  <w:footnote w:type="continuationSeparator" w:id="0">
    <w:p w14:paraId="1989BD5C" w14:textId="77777777" w:rsidR="000F0E0E" w:rsidRDefault="000F0E0E">
      <w:r>
        <w:continuationSeparator/>
      </w:r>
    </w:p>
  </w:footnote>
  <w:footnote w:id="1">
    <w:p w14:paraId="2E6B093C" w14:textId="77777777" w:rsidR="001B58C7" w:rsidRDefault="000F0E0E">
      <w:pPr>
        <w:pStyle w:val="Notedebasdepage"/>
        <w:rPr>
          <w:lang w:val="fr-FR"/>
        </w:rPr>
      </w:pPr>
      <w:r>
        <w:rPr>
          <w:rStyle w:val="Appelnotedebasdep"/>
        </w:rPr>
        <w:footnoteRef/>
      </w:r>
      <w:r>
        <w:rPr>
          <w:lang w:val="fr-FR"/>
        </w:rPr>
        <w:t xml:space="preserve"> Une étude a été menée en 2019 - 2020 par le projet PAJURR Kasaï central dans la seule province du KC. </w:t>
      </w:r>
    </w:p>
  </w:footnote>
  <w:footnote w:id="2">
    <w:p w14:paraId="5B4DFE70" w14:textId="77777777" w:rsidR="001B58C7" w:rsidRDefault="000F0E0E">
      <w:pPr>
        <w:rPr>
          <w:rFonts w:ascii="Arial" w:hAnsi="Arial" w:cs="Arial"/>
          <w:sz w:val="20"/>
          <w:szCs w:val="20"/>
          <w:lang w:val="fr-FR" w:eastAsia="en-US"/>
        </w:rPr>
      </w:pPr>
      <w:r>
        <w:rPr>
          <w:rStyle w:val="Appelnotedebasdep"/>
        </w:rPr>
        <w:footnoteRef/>
      </w:r>
      <w:r>
        <w:rPr>
          <w:lang w:val="fr-FR"/>
        </w:rPr>
        <w:t xml:space="preserve"> </w:t>
      </w:r>
      <w:r>
        <w:rPr>
          <w:sz w:val="18"/>
          <w:szCs w:val="18"/>
          <w:lang w:val="fr-FR"/>
        </w:rPr>
        <w:t xml:space="preserve">Kasai : </w:t>
      </w:r>
      <w:r>
        <w:rPr>
          <w:b/>
          <w:bCs/>
          <w:sz w:val="18"/>
          <w:szCs w:val="18"/>
          <w:lang w:val="fr-FR"/>
        </w:rPr>
        <w:t>3 751 669</w:t>
      </w:r>
      <w:r>
        <w:rPr>
          <w:sz w:val="18"/>
          <w:szCs w:val="18"/>
          <w:lang w:val="fr-FR"/>
        </w:rPr>
        <w:t xml:space="preserve"> (Tshikapa</w:t>
      </w:r>
      <w:r>
        <w:rPr>
          <w:rFonts w:ascii="Arial" w:hAnsi="Arial" w:cs="Arial"/>
          <w:sz w:val="18"/>
          <w:szCs w:val="18"/>
          <w:lang w:val="fr-FR"/>
        </w:rPr>
        <w:t xml:space="preserve">   </w:t>
      </w:r>
      <w:r>
        <w:rPr>
          <w:sz w:val="18"/>
          <w:szCs w:val="18"/>
          <w:lang w:val="fr-FR"/>
        </w:rPr>
        <w:t xml:space="preserve">1,129,013, Kamonia 1,443,921, Mweka 740,091 et Luebo 438,644) et Kasai Central : </w:t>
      </w:r>
      <w:r>
        <w:rPr>
          <w:b/>
          <w:bCs/>
          <w:sz w:val="18"/>
          <w:szCs w:val="18"/>
          <w:lang w:val="fr-FR"/>
        </w:rPr>
        <w:t>3 366 646</w:t>
      </w:r>
      <w:r>
        <w:rPr>
          <w:sz w:val="18"/>
          <w:szCs w:val="18"/>
          <w:lang w:val="fr-FR"/>
        </w:rPr>
        <w:t xml:space="preserve"> (Kananga 1,059,479, Dibaya</w:t>
      </w:r>
      <w:r>
        <w:rPr>
          <w:lang w:val="fr-FR"/>
        </w:rPr>
        <w:t xml:space="preserve"> </w:t>
      </w:r>
      <w:r>
        <w:rPr>
          <w:sz w:val="18"/>
          <w:szCs w:val="18"/>
          <w:lang w:val="fr-FR"/>
        </w:rPr>
        <w:t>611,334, Demba 804,123 et Luiza</w:t>
      </w:r>
      <w:r>
        <w:rPr>
          <w:lang w:val="fr-FR"/>
        </w:rPr>
        <w:t xml:space="preserve"> </w:t>
      </w:r>
      <w:r>
        <w:rPr>
          <w:sz w:val="18"/>
          <w:szCs w:val="18"/>
          <w:lang w:val="fr-FR"/>
        </w:rPr>
        <w:t xml:space="preserve">891,710). </w:t>
      </w:r>
      <w:r>
        <w:rPr>
          <w:b/>
          <w:bCs/>
          <w:sz w:val="18"/>
          <w:szCs w:val="18"/>
          <w:lang w:val="fr-FR"/>
        </w:rPr>
        <w:t>Sources : Divisions provinciales de santé (DPS), 2020.</w:t>
      </w:r>
      <w:r>
        <w:rPr>
          <w:b/>
          <w:bCs/>
          <w:lang w:val="fr-FR"/>
        </w:rPr>
        <w:t xml:space="preserve"> </w:t>
      </w:r>
      <w:r>
        <w:rPr>
          <w:b/>
          <w:bCs/>
          <w:sz w:val="18"/>
          <w:szCs w:val="18"/>
          <w:lang w:val="fr-FR"/>
        </w:rPr>
        <w:t>Total : 7 118 315</w:t>
      </w:r>
    </w:p>
  </w:footnote>
  <w:footnote w:id="3">
    <w:p w14:paraId="5A26FF01" w14:textId="77777777" w:rsidR="001B58C7" w:rsidRDefault="000F0E0E">
      <w:pPr>
        <w:pStyle w:val="Notedebasdepage"/>
        <w:rPr>
          <w:lang w:val="fr-FR"/>
        </w:rPr>
      </w:pPr>
      <w:r>
        <w:rPr>
          <w:rStyle w:val="Appelnotedebasdep"/>
        </w:rPr>
        <w:footnoteRef/>
      </w:r>
      <w:r>
        <w:rPr>
          <w:lang w:val="fr-FR"/>
        </w:rPr>
        <w:t xml:space="preserve"> Depuis le lancement du projet et la planification des activités, les cartographies réalisées par TDH et Interpeace dans le contexte des autres interventions dans la zone, appuyés en partie par le PBF, ont été les principales sources appuyées et utilisées.</w:t>
      </w:r>
    </w:p>
  </w:footnote>
  <w:footnote w:id="4">
    <w:p w14:paraId="2511ADEB" w14:textId="77777777" w:rsidR="001B58C7" w:rsidRDefault="000F0E0E">
      <w:pPr>
        <w:pStyle w:val="Notedebasdepage"/>
        <w:rPr>
          <w:lang w:val="fr-FR"/>
        </w:rPr>
      </w:pPr>
      <w:r>
        <w:rPr>
          <w:rStyle w:val="Appelnotedebasdep"/>
        </w:rPr>
        <w:footnoteRef/>
      </w:r>
      <w:r>
        <w:rPr>
          <w:lang w:val="fr-FR"/>
        </w:rPr>
        <w:t xml:space="preserve"> Ces plans ont été élaboré dans le cadre du précédent projet PBF (OIM et HCR), dont le financement a été prévu dans PROJUST pour faciliter sa mise en œuvre. </w:t>
      </w:r>
    </w:p>
  </w:footnote>
  <w:footnote w:id="5">
    <w:p w14:paraId="3249E112" w14:textId="77777777" w:rsidR="001B58C7" w:rsidRDefault="000F0E0E">
      <w:pPr>
        <w:pStyle w:val="Notedebasdepage"/>
        <w:rPr>
          <w:lang w:val="fr-FR"/>
        </w:rPr>
      </w:pPr>
      <w:r>
        <w:rPr>
          <w:rStyle w:val="Appelnotedebasdep"/>
        </w:rPr>
        <w:footnoteRef/>
      </w:r>
      <w:r>
        <w:rPr>
          <w:lang w:val="fr-FR"/>
        </w:rPr>
        <w:t xml:space="preserve"> Où l'innovation est définie comme un produit, un service ou une stratégie qui est à la fois nouveau et utile. Les innovations ne doivent pas nécessairement être des percées majeures dans la technologie ou les solutions numériques, mais incluent ici une approche nouvelle et/ou créative pour résoudre les problèmes du développement.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BA3A7" w14:textId="77777777" w:rsidR="001B58C7" w:rsidRDefault="000F0E0E">
    <w:pPr>
      <w:pStyle w:val="En-tte"/>
      <w:tabs>
        <w:tab w:val="clear" w:pos="9360"/>
        <w:tab w:val="right" w:pos="8910"/>
      </w:tabs>
      <w:ind w:left="-720" w:right="26" w:firstLine="360"/>
      <w:jc w:val="center"/>
      <w:rPr>
        <w:color w:val="FF0000"/>
        <w:lang w:val="fr-FR"/>
      </w:rPr>
    </w:pPr>
    <w:r>
      <w:rPr>
        <w:color w:val="FF0000"/>
        <w:lang w:val="fr-FR"/>
      </w:rPr>
      <w:t>CE MODÈLE DONNE UNE VUE D'ENSEMBLE DES QUESTIONS DU RAPPORT EN LIGNE : IL EST DESTINÉ À VOUS GUIDER DANS LES QUESTIONS DU RAPPORT</w:t>
    </w:r>
  </w:p>
  <w:p w14:paraId="26121496" w14:textId="77777777" w:rsidR="001B58C7" w:rsidRDefault="001B58C7">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59F06F"/>
    <w:multiLevelType w:val="singleLevel"/>
    <w:tmpl w:val="8559F06F"/>
    <w:lvl w:ilvl="0">
      <w:start w:val="1"/>
      <w:numFmt w:val="decimal"/>
      <w:suff w:val="space"/>
      <w:lvlText w:val="%1."/>
      <w:lvlJc w:val="left"/>
    </w:lvl>
  </w:abstractNum>
  <w:abstractNum w:abstractNumId="1" w15:restartNumberingAfterBreak="0">
    <w:nsid w:val="874D69AE"/>
    <w:multiLevelType w:val="multilevel"/>
    <w:tmpl w:val="874D69AE"/>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15:restartNumberingAfterBreak="0">
    <w:nsid w:val="8C7AAEA9"/>
    <w:multiLevelType w:val="multilevel"/>
    <w:tmpl w:val="8C7AAEA9"/>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 w15:restartNumberingAfterBreak="0">
    <w:nsid w:val="93062406"/>
    <w:multiLevelType w:val="multilevel"/>
    <w:tmpl w:val="93062406"/>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 w15:restartNumberingAfterBreak="0">
    <w:nsid w:val="B9394D10"/>
    <w:multiLevelType w:val="multilevel"/>
    <w:tmpl w:val="B9394D10"/>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 w15:restartNumberingAfterBreak="0">
    <w:nsid w:val="D8C74D9C"/>
    <w:multiLevelType w:val="multilevel"/>
    <w:tmpl w:val="D8C74D9C"/>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 w15:restartNumberingAfterBreak="0">
    <w:nsid w:val="EC1F9C42"/>
    <w:multiLevelType w:val="multilevel"/>
    <w:tmpl w:val="EC1F9C42"/>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Times New Roman"/>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7" w15:restartNumberingAfterBreak="0">
    <w:nsid w:val="FAEC3F11"/>
    <w:multiLevelType w:val="multilevel"/>
    <w:tmpl w:val="FAEC3F11"/>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8" w15:restartNumberingAfterBreak="0">
    <w:nsid w:val="FB53E95D"/>
    <w:multiLevelType w:val="singleLevel"/>
    <w:tmpl w:val="FB53E95D"/>
    <w:lvl w:ilvl="0">
      <w:start w:val="1"/>
      <w:numFmt w:val="bullet"/>
      <w:lvlText w:val=""/>
      <w:lvlJc w:val="left"/>
      <w:pPr>
        <w:tabs>
          <w:tab w:val="left" w:pos="420"/>
        </w:tabs>
        <w:ind w:left="420" w:hanging="420"/>
      </w:pPr>
      <w:rPr>
        <w:rFonts w:ascii="Wingdings" w:hAnsi="Wingdings" w:hint="default"/>
      </w:rPr>
    </w:lvl>
  </w:abstractNum>
  <w:abstractNum w:abstractNumId="9" w15:restartNumberingAfterBreak="0">
    <w:nsid w:val="0134DBCE"/>
    <w:multiLevelType w:val="singleLevel"/>
    <w:tmpl w:val="0134DBCE"/>
    <w:lvl w:ilvl="0">
      <w:start w:val="1"/>
      <w:numFmt w:val="bullet"/>
      <w:lvlText w:val=""/>
      <w:lvlJc w:val="left"/>
      <w:pPr>
        <w:tabs>
          <w:tab w:val="left" w:pos="420"/>
        </w:tabs>
        <w:ind w:left="420" w:hanging="420"/>
      </w:pPr>
      <w:rPr>
        <w:rFonts w:ascii="Wingdings" w:hAnsi="Wingdings" w:hint="default"/>
      </w:rPr>
    </w:lvl>
  </w:abstractNum>
  <w:abstractNum w:abstractNumId="10" w15:restartNumberingAfterBreak="0">
    <w:nsid w:val="0E6F5EBC"/>
    <w:multiLevelType w:val="multilevel"/>
    <w:tmpl w:val="0E6F5EB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25B8AC25"/>
    <w:multiLevelType w:val="multilevel"/>
    <w:tmpl w:val="25B8AC25"/>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2" w15:restartNumberingAfterBreak="0">
    <w:nsid w:val="270BB4E0"/>
    <w:multiLevelType w:val="multilevel"/>
    <w:tmpl w:val="270BB4E0"/>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3" w15:restartNumberingAfterBreak="0">
    <w:nsid w:val="39106D26"/>
    <w:multiLevelType w:val="multilevel"/>
    <w:tmpl w:val="39106D26"/>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Times New Roman"/>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4" w15:restartNumberingAfterBreak="0">
    <w:nsid w:val="3D0AD910"/>
    <w:multiLevelType w:val="multilevel"/>
    <w:tmpl w:val="3D0AD910"/>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5" w15:restartNumberingAfterBreak="0">
    <w:nsid w:val="4E9B3FF6"/>
    <w:multiLevelType w:val="multilevel"/>
    <w:tmpl w:val="4E9B3FF6"/>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6" w15:restartNumberingAfterBreak="0">
    <w:nsid w:val="4FAAC4F6"/>
    <w:multiLevelType w:val="singleLevel"/>
    <w:tmpl w:val="4FAAC4F6"/>
    <w:lvl w:ilvl="0">
      <w:start w:val="1"/>
      <w:numFmt w:val="decimal"/>
      <w:suff w:val="space"/>
      <w:lvlText w:val="%1."/>
      <w:lvlJc w:val="left"/>
    </w:lvl>
  </w:abstractNum>
  <w:abstractNum w:abstractNumId="17" w15:restartNumberingAfterBreak="0">
    <w:nsid w:val="696CCE30"/>
    <w:multiLevelType w:val="multilevel"/>
    <w:tmpl w:val="696CCE30"/>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Times New Roman"/>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8" w15:restartNumberingAfterBreak="0">
    <w:nsid w:val="698F44FA"/>
    <w:multiLevelType w:val="multilevel"/>
    <w:tmpl w:val="698F44FA"/>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9" w15:restartNumberingAfterBreak="0">
    <w:nsid w:val="69BD3911"/>
    <w:multiLevelType w:val="multilevel"/>
    <w:tmpl w:val="69BD3911"/>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0" w15:restartNumberingAfterBreak="0">
    <w:nsid w:val="6A7DC226"/>
    <w:multiLevelType w:val="multilevel"/>
    <w:tmpl w:val="6A7DC226"/>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1" w15:restartNumberingAfterBreak="0">
    <w:nsid w:val="6F76EA4A"/>
    <w:multiLevelType w:val="multilevel"/>
    <w:tmpl w:val="6F76EA4A"/>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2" w15:restartNumberingAfterBreak="0">
    <w:nsid w:val="7A710118"/>
    <w:multiLevelType w:val="multilevel"/>
    <w:tmpl w:val="7A7101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494223879">
    <w:abstractNumId w:val="22"/>
  </w:num>
  <w:num w:numId="2" w16cid:durableId="1443186369">
    <w:abstractNumId w:val="0"/>
  </w:num>
  <w:num w:numId="3" w16cid:durableId="1645084971">
    <w:abstractNumId w:val="8"/>
  </w:num>
  <w:num w:numId="4" w16cid:durableId="201332078">
    <w:abstractNumId w:val="9"/>
  </w:num>
  <w:num w:numId="5" w16cid:durableId="547842563">
    <w:abstractNumId w:val="5"/>
  </w:num>
  <w:num w:numId="6" w16cid:durableId="1820418668">
    <w:abstractNumId w:val="16"/>
  </w:num>
  <w:num w:numId="7" w16cid:durableId="2036075969">
    <w:abstractNumId w:val="7"/>
  </w:num>
  <w:num w:numId="8" w16cid:durableId="1643146692">
    <w:abstractNumId w:val="17"/>
  </w:num>
  <w:num w:numId="9" w16cid:durableId="1715155747">
    <w:abstractNumId w:val="21"/>
  </w:num>
  <w:num w:numId="10" w16cid:durableId="1361585653">
    <w:abstractNumId w:val="19"/>
  </w:num>
  <w:num w:numId="11" w16cid:durableId="815295974">
    <w:abstractNumId w:val="14"/>
  </w:num>
  <w:num w:numId="12" w16cid:durableId="1244267256">
    <w:abstractNumId w:val="18"/>
  </w:num>
  <w:num w:numId="13" w16cid:durableId="26490542">
    <w:abstractNumId w:val="1"/>
  </w:num>
  <w:num w:numId="14" w16cid:durableId="1113595258">
    <w:abstractNumId w:val="20"/>
  </w:num>
  <w:num w:numId="15" w16cid:durableId="2138603400">
    <w:abstractNumId w:val="6"/>
  </w:num>
  <w:num w:numId="16" w16cid:durableId="1114060894">
    <w:abstractNumId w:val="4"/>
  </w:num>
  <w:num w:numId="17" w16cid:durableId="95908929">
    <w:abstractNumId w:val="12"/>
  </w:num>
  <w:num w:numId="18" w16cid:durableId="941500177">
    <w:abstractNumId w:val="13"/>
  </w:num>
  <w:num w:numId="19" w16cid:durableId="433984679">
    <w:abstractNumId w:val="11"/>
  </w:num>
  <w:num w:numId="20" w16cid:durableId="1581794863">
    <w:abstractNumId w:val="2"/>
  </w:num>
  <w:num w:numId="21" w16cid:durableId="2041200544">
    <w:abstractNumId w:val="15"/>
  </w:num>
  <w:num w:numId="22" w16cid:durableId="1259214128">
    <w:abstractNumId w:val="3"/>
  </w:num>
  <w:num w:numId="23" w16cid:durableId="526259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CA1"/>
    <w:rsid w:val="000022C4"/>
    <w:rsid w:val="00002815"/>
    <w:rsid w:val="000054B6"/>
    <w:rsid w:val="00005737"/>
    <w:rsid w:val="000057A9"/>
    <w:rsid w:val="00006DBE"/>
    <w:rsid w:val="00006EC0"/>
    <w:rsid w:val="00007FB8"/>
    <w:rsid w:val="00010EB0"/>
    <w:rsid w:val="0001109A"/>
    <w:rsid w:val="00013D36"/>
    <w:rsid w:val="00013D69"/>
    <w:rsid w:val="0001449A"/>
    <w:rsid w:val="00014B13"/>
    <w:rsid w:val="00014D92"/>
    <w:rsid w:val="00016063"/>
    <w:rsid w:val="00016848"/>
    <w:rsid w:val="000210D1"/>
    <w:rsid w:val="00021F3C"/>
    <w:rsid w:val="00025EFA"/>
    <w:rsid w:val="00031640"/>
    <w:rsid w:val="0004022E"/>
    <w:rsid w:val="00045C24"/>
    <w:rsid w:val="00046208"/>
    <w:rsid w:val="00050759"/>
    <w:rsid w:val="00051F71"/>
    <w:rsid w:val="0005216F"/>
    <w:rsid w:val="00052745"/>
    <w:rsid w:val="00052DE5"/>
    <w:rsid w:val="000554F8"/>
    <w:rsid w:val="000567C9"/>
    <w:rsid w:val="0005713F"/>
    <w:rsid w:val="00063017"/>
    <w:rsid w:val="00066D86"/>
    <w:rsid w:val="00066E25"/>
    <w:rsid w:val="00067F28"/>
    <w:rsid w:val="000731D0"/>
    <w:rsid w:val="00075D98"/>
    <w:rsid w:val="0008134A"/>
    <w:rsid w:val="0008233D"/>
    <w:rsid w:val="00082738"/>
    <w:rsid w:val="00084F64"/>
    <w:rsid w:val="00085A72"/>
    <w:rsid w:val="00091CFD"/>
    <w:rsid w:val="00092442"/>
    <w:rsid w:val="000960DC"/>
    <w:rsid w:val="000A0FD3"/>
    <w:rsid w:val="000A13A4"/>
    <w:rsid w:val="000A45F4"/>
    <w:rsid w:val="000A4660"/>
    <w:rsid w:val="000A51DA"/>
    <w:rsid w:val="000A6719"/>
    <w:rsid w:val="000B1E6F"/>
    <w:rsid w:val="000B4E5C"/>
    <w:rsid w:val="000B71CE"/>
    <w:rsid w:val="000B7954"/>
    <w:rsid w:val="000C7EA0"/>
    <w:rsid w:val="000D4F4B"/>
    <w:rsid w:val="000D5CAE"/>
    <w:rsid w:val="000D6C3A"/>
    <w:rsid w:val="000E05AE"/>
    <w:rsid w:val="000E6A96"/>
    <w:rsid w:val="000F05A2"/>
    <w:rsid w:val="000F0E0E"/>
    <w:rsid w:val="000F13B1"/>
    <w:rsid w:val="000F19E8"/>
    <w:rsid w:val="000F43A8"/>
    <w:rsid w:val="000F7AC2"/>
    <w:rsid w:val="00101C07"/>
    <w:rsid w:val="00102C0E"/>
    <w:rsid w:val="00103651"/>
    <w:rsid w:val="001102A9"/>
    <w:rsid w:val="00111890"/>
    <w:rsid w:val="00111CEE"/>
    <w:rsid w:val="00112741"/>
    <w:rsid w:val="00113D2B"/>
    <w:rsid w:val="00113EC4"/>
    <w:rsid w:val="00114BF9"/>
    <w:rsid w:val="00115EF8"/>
    <w:rsid w:val="00116449"/>
    <w:rsid w:val="001165AD"/>
    <w:rsid w:val="0011666C"/>
    <w:rsid w:val="00116E27"/>
    <w:rsid w:val="00117EE7"/>
    <w:rsid w:val="00121B2D"/>
    <w:rsid w:val="00124014"/>
    <w:rsid w:val="001307FA"/>
    <w:rsid w:val="00131824"/>
    <w:rsid w:val="00136B32"/>
    <w:rsid w:val="00137638"/>
    <w:rsid w:val="0013790A"/>
    <w:rsid w:val="00137EDD"/>
    <w:rsid w:val="00141A6C"/>
    <w:rsid w:val="001444EE"/>
    <w:rsid w:val="00145766"/>
    <w:rsid w:val="001458E9"/>
    <w:rsid w:val="00153519"/>
    <w:rsid w:val="00153CD9"/>
    <w:rsid w:val="001545F2"/>
    <w:rsid w:val="001550D5"/>
    <w:rsid w:val="00155AFB"/>
    <w:rsid w:val="00156AFA"/>
    <w:rsid w:val="00156C4C"/>
    <w:rsid w:val="001577B6"/>
    <w:rsid w:val="00157BF2"/>
    <w:rsid w:val="001607B2"/>
    <w:rsid w:val="0016088D"/>
    <w:rsid w:val="00161D02"/>
    <w:rsid w:val="0016293B"/>
    <w:rsid w:val="00172924"/>
    <w:rsid w:val="001745E8"/>
    <w:rsid w:val="00175657"/>
    <w:rsid w:val="0017627D"/>
    <w:rsid w:val="00176D49"/>
    <w:rsid w:val="0018095F"/>
    <w:rsid w:val="00182C5A"/>
    <w:rsid w:val="0018313E"/>
    <w:rsid w:val="00183595"/>
    <w:rsid w:val="0018446E"/>
    <w:rsid w:val="00185425"/>
    <w:rsid w:val="00186529"/>
    <w:rsid w:val="00186D58"/>
    <w:rsid w:val="0019016D"/>
    <w:rsid w:val="00192F1D"/>
    <w:rsid w:val="001948EA"/>
    <w:rsid w:val="00194D4C"/>
    <w:rsid w:val="00196AA8"/>
    <w:rsid w:val="001A1990"/>
    <w:rsid w:val="001A1E86"/>
    <w:rsid w:val="001A2539"/>
    <w:rsid w:val="001A3157"/>
    <w:rsid w:val="001A374F"/>
    <w:rsid w:val="001A4786"/>
    <w:rsid w:val="001B1EAF"/>
    <w:rsid w:val="001B23C2"/>
    <w:rsid w:val="001B331E"/>
    <w:rsid w:val="001B458D"/>
    <w:rsid w:val="001B4FC7"/>
    <w:rsid w:val="001B58C7"/>
    <w:rsid w:val="001B5D16"/>
    <w:rsid w:val="001B6DFD"/>
    <w:rsid w:val="001B7DD1"/>
    <w:rsid w:val="001C15CC"/>
    <w:rsid w:val="001C417E"/>
    <w:rsid w:val="001C4484"/>
    <w:rsid w:val="001C46E9"/>
    <w:rsid w:val="001C5691"/>
    <w:rsid w:val="001C56B8"/>
    <w:rsid w:val="001C5B82"/>
    <w:rsid w:val="001D1C14"/>
    <w:rsid w:val="001D1EE0"/>
    <w:rsid w:val="001D377A"/>
    <w:rsid w:val="001D575F"/>
    <w:rsid w:val="001D6683"/>
    <w:rsid w:val="001D67F9"/>
    <w:rsid w:val="001D68BB"/>
    <w:rsid w:val="001E2D0B"/>
    <w:rsid w:val="001E660A"/>
    <w:rsid w:val="001F308A"/>
    <w:rsid w:val="0020130A"/>
    <w:rsid w:val="00205EB7"/>
    <w:rsid w:val="0020791D"/>
    <w:rsid w:val="0021076A"/>
    <w:rsid w:val="002129DA"/>
    <w:rsid w:val="00213625"/>
    <w:rsid w:val="0021550A"/>
    <w:rsid w:val="00215830"/>
    <w:rsid w:val="00215ABA"/>
    <w:rsid w:val="00215F41"/>
    <w:rsid w:val="00217A2E"/>
    <w:rsid w:val="00217EB6"/>
    <w:rsid w:val="002215CF"/>
    <w:rsid w:val="002247C2"/>
    <w:rsid w:val="002322E6"/>
    <w:rsid w:val="00233827"/>
    <w:rsid w:val="00234A5E"/>
    <w:rsid w:val="00236072"/>
    <w:rsid w:val="0023672E"/>
    <w:rsid w:val="00236AB3"/>
    <w:rsid w:val="002436F0"/>
    <w:rsid w:val="00245E73"/>
    <w:rsid w:val="00246135"/>
    <w:rsid w:val="00247F4E"/>
    <w:rsid w:val="002500E3"/>
    <w:rsid w:val="00251E92"/>
    <w:rsid w:val="0025220B"/>
    <w:rsid w:val="002526AB"/>
    <w:rsid w:val="00252B39"/>
    <w:rsid w:val="00254AC2"/>
    <w:rsid w:val="0025525B"/>
    <w:rsid w:val="00262A14"/>
    <w:rsid w:val="00263C59"/>
    <w:rsid w:val="00264DA0"/>
    <w:rsid w:val="00271A6B"/>
    <w:rsid w:val="0027242A"/>
    <w:rsid w:val="00272A58"/>
    <w:rsid w:val="00273AD0"/>
    <w:rsid w:val="0027717F"/>
    <w:rsid w:val="00280FEA"/>
    <w:rsid w:val="002822AF"/>
    <w:rsid w:val="00282BD9"/>
    <w:rsid w:val="00282ED7"/>
    <w:rsid w:val="00284188"/>
    <w:rsid w:val="0028605B"/>
    <w:rsid w:val="00286F66"/>
    <w:rsid w:val="00287878"/>
    <w:rsid w:val="002940E8"/>
    <w:rsid w:val="00296C15"/>
    <w:rsid w:val="00297BDB"/>
    <w:rsid w:val="002A1877"/>
    <w:rsid w:val="002A23DE"/>
    <w:rsid w:val="002A3E02"/>
    <w:rsid w:val="002A4292"/>
    <w:rsid w:val="002A4F7C"/>
    <w:rsid w:val="002A64B5"/>
    <w:rsid w:val="002B0F98"/>
    <w:rsid w:val="002B3207"/>
    <w:rsid w:val="002B346A"/>
    <w:rsid w:val="002B351E"/>
    <w:rsid w:val="002B4426"/>
    <w:rsid w:val="002B5F4F"/>
    <w:rsid w:val="002B6AF8"/>
    <w:rsid w:val="002B740B"/>
    <w:rsid w:val="002C187A"/>
    <w:rsid w:val="002C20A8"/>
    <w:rsid w:val="002C2BF0"/>
    <w:rsid w:val="002C356E"/>
    <w:rsid w:val="002C5DD0"/>
    <w:rsid w:val="002C7051"/>
    <w:rsid w:val="002C7DF7"/>
    <w:rsid w:val="002D2FBB"/>
    <w:rsid w:val="002D4247"/>
    <w:rsid w:val="002D68D7"/>
    <w:rsid w:val="002D6DA0"/>
    <w:rsid w:val="002E10E6"/>
    <w:rsid w:val="002E1CED"/>
    <w:rsid w:val="002E24A5"/>
    <w:rsid w:val="002E3796"/>
    <w:rsid w:val="002E454D"/>
    <w:rsid w:val="002E5250"/>
    <w:rsid w:val="002E5B90"/>
    <w:rsid w:val="002E61AA"/>
    <w:rsid w:val="002E6F58"/>
    <w:rsid w:val="002E7061"/>
    <w:rsid w:val="002E745D"/>
    <w:rsid w:val="002F10F6"/>
    <w:rsid w:val="002F15D9"/>
    <w:rsid w:val="002F26EC"/>
    <w:rsid w:val="002F42EA"/>
    <w:rsid w:val="003040D8"/>
    <w:rsid w:val="0030455E"/>
    <w:rsid w:val="003050F8"/>
    <w:rsid w:val="00305147"/>
    <w:rsid w:val="00305626"/>
    <w:rsid w:val="003107C9"/>
    <w:rsid w:val="00316C40"/>
    <w:rsid w:val="00316D58"/>
    <w:rsid w:val="003212BB"/>
    <w:rsid w:val="00321C92"/>
    <w:rsid w:val="00322A8D"/>
    <w:rsid w:val="003235DF"/>
    <w:rsid w:val="00323ABC"/>
    <w:rsid w:val="00324A7C"/>
    <w:rsid w:val="00324FE5"/>
    <w:rsid w:val="003251CF"/>
    <w:rsid w:val="00333EC9"/>
    <w:rsid w:val="0033515C"/>
    <w:rsid w:val="00335F56"/>
    <w:rsid w:val="00336BF8"/>
    <w:rsid w:val="00342356"/>
    <w:rsid w:val="00343425"/>
    <w:rsid w:val="0034386B"/>
    <w:rsid w:val="00346D73"/>
    <w:rsid w:val="003473C6"/>
    <w:rsid w:val="00352332"/>
    <w:rsid w:val="0035397C"/>
    <w:rsid w:val="00355C69"/>
    <w:rsid w:val="0035676B"/>
    <w:rsid w:val="0036386A"/>
    <w:rsid w:val="003645E6"/>
    <w:rsid w:val="00364A10"/>
    <w:rsid w:val="00366549"/>
    <w:rsid w:val="003712C1"/>
    <w:rsid w:val="00372156"/>
    <w:rsid w:val="003722AE"/>
    <w:rsid w:val="0037561F"/>
    <w:rsid w:val="0037563A"/>
    <w:rsid w:val="003758E5"/>
    <w:rsid w:val="00375A38"/>
    <w:rsid w:val="00376811"/>
    <w:rsid w:val="00380849"/>
    <w:rsid w:val="003818DB"/>
    <w:rsid w:val="003834CD"/>
    <w:rsid w:val="00383908"/>
    <w:rsid w:val="0038723E"/>
    <w:rsid w:val="00390E93"/>
    <w:rsid w:val="00391614"/>
    <w:rsid w:val="003966E6"/>
    <w:rsid w:val="003968D7"/>
    <w:rsid w:val="00397159"/>
    <w:rsid w:val="003A0016"/>
    <w:rsid w:val="003A1096"/>
    <w:rsid w:val="003A2E9A"/>
    <w:rsid w:val="003A613D"/>
    <w:rsid w:val="003A6341"/>
    <w:rsid w:val="003A66C2"/>
    <w:rsid w:val="003A7E2B"/>
    <w:rsid w:val="003B3A5F"/>
    <w:rsid w:val="003B4F6E"/>
    <w:rsid w:val="003B5338"/>
    <w:rsid w:val="003B73E2"/>
    <w:rsid w:val="003B7EBD"/>
    <w:rsid w:val="003C2CBF"/>
    <w:rsid w:val="003C374F"/>
    <w:rsid w:val="003C38DF"/>
    <w:rsid w:val="003C5283"/>
    <w:rsid w:val="003C5CC6"/>
    <w:rsid w:val="003C72FC"/>
    <w:rsid w:val="003D12C7"/>
    <w:rsid w:val="003D15C0"/>
    <w:rsid w:val="003D1AD7"/>
    <w:rsid w:val="003D228B"/>
    <w:rsid w:val="003D4CD7"/>
    <w:rsid w:val="003D4D7C"/>
    <w:rsid w:val="003E218E"/>
    <w:rsid w:val="003F0132"/>
    <w:rsid w:val="003F08B1"/>
    <w:rsid w:val="003F21BE"/>
    <w:rsid w:val="003F36FB"/>
    <w:rsid w:val="003F564D"/>
    <w:rsid w:val="003F660A"/>
    <w:rsid w:val="004017BD"/>
    <w:rsid w:val="00402083"/>
    <w:rsid w:val="004023AC"/>
    <w:rsid w:val="00402514"/>
    <w:rsid w:val="0040513F"/>
    <w:rsid w:val="004051BB"/>
    <w:rsid w:val="00405DE7"/>
    <w:rsid w:val="00411A5F"/>
    <w:rsid w:val="00412AD6"/>
    <w:rsid w:val="00413EAF"/>
    <w:rsid w:val="00414097"/>
    <w:rsid w:val="00415060"/>
    <w:rsid w:val="00417BA1"/>
    <w:rsid w:val="004213AF"/>
    <w:rsid w:val="004217DF"/>
    <w:rsid w:val="00423A0B"/>
    <w:rsid w:val="00423E4E"/>
    <w:rsid w:val="00424E0B"/>
    <w:rsid w:val="00425861"/>
    <w:rsid w:val="00425AF8"/>
    <w:rsid w:val="00426E11"/>
    <w:rsid w:val="00435367"/>
    <w:rsid w:val="00437FF5"/>
    <w:rsid w:val="00446B82"/>
    <w:rsid w:val="0045149A"/>
    <w:rsid w:val="00456874"/>
    <w:rsid w:val="00460ACA"/>
    <w:rsid w:val="0046101E"/>
    <w:rsid w:val="00461944"/>
    <w:rsid w:val="00462024"/>
    <w:rsid w:val="00464188"/>
    <w:rsid w:val="00470EC3"/>
    <w:rsid w:val="00476758"/>
    <w:rsid w:val="00477CF8"/>
    <w:rsid w:val="00480A02"/>
    <w:rsid w:val="0048168F"/>
    <w:rsid w:val="00484092"/>
    <w:rsid w:val="00484169"/>
    <w:rsid w:val="00484C8E"/>
    <w:rsid w:val="004863D3"/>
    <w:rsid w:val="0048764B"/>
    <w:rsid w:val="00495AC5"/>
    <w:rsid w:val="00495C66"/>
    <w:rsid w:val="004965A3"/>
    <w:rsid w:val="004973DD"/>
    <w:rsid w:val="004A0C5E"/>
    <w:rsid w:val="004A210E"/>
    <w:rsid w:val="004A49E6"/>
    <w:rsid w:val="004A5644"/>
    <w:rsid w:val="004B1E1E"/>
    <w:rsid w:val="004B5601"/>
    <w:rsid w:val="004B5B20"/>
    <w:rsid w:val="004B7933"/>
    <w:rsid w:val="004C3DC3"/>
    <w:rsid w:val="004C4272"/>
    <w:rsid w:val="004C4F3B"/>
    <w:rsid w:val="004C60CF"/>
    <w:rsid w:val="004D141E"/>
    <w:rsid w:val="004D2FBD"/>
    <w:rsid w:val="004E0C5A"/>
    <w:rsid w:val="004E33A8"/>
    <w:rsid w:val="004E3B3E"/>
    <w:rsid w:val="004E3BD7"/>
    <w:rsid w:val="004E45CD"/>
    <w:rsid w:val="004E6614"/>
    <w:rsid w:val="004F016F"/>
    <w:rsid w:val="004F4469"/>
    <w:rsid w:val="004F7D22"/>
    <w:rsid w:val="00500587"/>
    <w:rsid w:val="00505758"/>
    <w:rsid w:val="005129DA"/>
    <w:rsid w:val="00513612"/>
    <w:rsid w:val="00513D8E"/>
    <w:rsid w:val="005140E9"/>
    <w:rsid w:val="00515EEF"/>
    <w:rsid w:val="005174D6"/>
    <w:rsid w:val="0051786C"/>
    <w:rsid w:val="005208FF"/>
    <w:rsid w:val="00520E8E"/>
    <w:rsid w:val="00521468"/>
    <w:rsid w:val="005216B2"/>
    <w:rsid w:val="005228CA"/>
    <w:rsid w:val="00526655"/>
    <w:rsid w:val="00526735"/>
    <w:rsid w:val="00526B32"/>
    <w:rsid w:val="0053126F"/>
    <w:rsid w:val="00531C76"/>
    <w:rsid w:val="00535054"/>
    <w:rsid w:val="00535698"/>
    <w:rsid w:val="005357D9"/>
    <w:rsid w:val="0053586E"/>
    <w:rsid w:val="00536175"/>
    <w:rsid w:val="00537C36"/>
    <w:rsid w:val="00541F2E"/>
    <w:rsid w:val="0054416C"/>
    <w:rsid w:val="00544390"/>
    <w:rsid w:val="00544781"/>
    <w:rsid w:val="005452C2"/>
    <w:rsid w:val="005460E0"/>
    <w:rsid w:val="005470AF"/>
    <w:rsid w:val="00547F47"/>
    <w:rsid w:val="00550982"/>
    <w:rsid w:val="0055185F"/>
    <w:rsid w:val="00553A7C"/>
    <w:rsid w:val="00553D53"/>
    <w:rsid w:val="005545F5"/>
    <w:rsid w:val="005572DD"/>
    <w:rsid w:val="0056086D"/>
    <w:rsid w:val="00560D11"/>
    <w:rsid w:val="00561C6B"/>
    <w:rsid w:val="00562758"/>
    <w:rsid w:val="00563B36"/>
    <w:rsid w:val="00566819"/>
    <w:rsid w:val="00570456"/>
    <w:rsid w:val="0057086A"/>
    <w:rsid w:val="005718ED"/>
    <w:rsid w:val="005732A1"/>
    <w:rsid w:val="00577C75"/>
    <w:rsid w:val="0058153F"/>
    <w:rsid w:val="005820EE"/>
    <w:rsid w:val="0058301B"/>
    <w:rsid w:val="005839C7"/>
    <w:rsid w:val="005867C0"/>
    <w:rsid w:val="0059090C"/>
    <w:rsid w:val="00590937"/>
    <w:rsid w:val="0059166A"/>
    <w:rsid w:val="00592733"/>
    <w:rsid w:val="00593B59"/>
    <w:rsid w:val="00595DBA"/>
    <w:rsid w:val="005A2661"/>
    <w:rsid w:val="005A26F8"/>
    <w:rsid w:val="005A2AE0"/>
    <w:rsid w:val="005A404F"/>
    <w:rsid w:val="005A56E0"/>
    <w:rsid w:val="005B4331"/>
    <w:rsid w:val="005B4A70"/>
    <w:rsid w:val="005C187A"/>
    <w:rsid w:val="005C1FC7"/>
    <w:rsid w:val="005C4963"/>
    <w:rsid w:val="005C4BBA"/>
    <w:rsid w:val="005C68B4"/>
    <w:rsid w:val="005D15A3"/>
    <w:rsid w:val="005D1AC8"/>
    <w:rsid w:val="005D2343"/>
    <w:rsid w:val="005D3939"/>
    <w:rsid w:val="005D545C"/>
    <w:rsid w:val="005D5A4A"/>
    <w:rsid w:val="005D642B"/>
    <w:rsid w:val="005D653E"/>
    <w:rsid w:val="005E1C70"/>
    <w:rsid w:val="005E3B28"/>
    <w:rsid w:val="005F0CC2"/>
    <w:rsid w:val="005F23DE"/>
    <w:rsid w:val="005F439F"/>
    <w:rsid w:val="005F4B0A"/>
    <w:rsid w:val="005F77DA"/>
    <w:rsid w:val="00600B5F"/>
    <w:rsid w:val="00600E1A"/>
    <w:rsid w:val="006015E2"/>
    <w:rsid w:val="006017A2"/>
    <w:rsid w:val="00603CF3"/>
    <w:rsid w:val="0060476D"/>
    <w:rsid w:val="00605275"/>
    <w:rsid w:val="006073A2"/>
    <w:rsid w:val="006073AB"/>
    <w:rsid w:val="0060796B"/>
    <w:rsid w:val="006100F5"/>
    <w:rsid w:val="00613F49"/>
    <w:rsid w:val="0061467E"/>
    <w:rsid w:val="00615C30"/>
    <w:rsid w:val="00624881"/>
    <w:rsid w:val="00624B2F"/>
    <w:rsid w:val="00624F31"/>
    <w:rsid w:val="0062501B"/>
    <w:rsid w:val="00625D94"/>
    <w:rsid w:val="00626B3F"/>
    <w:rsid w:val="00627A1C"/>
    <w:rsid w:val="00631B01"/>
    <w:rsid w:val="00632971"/>
    <w:rsid w:val="00634478"/>
    <w:rsid w:val="00635112"/>
    <w:rsid w:val="0064385D"/>
    <w:rsid w:val="00643A9E"/>
    <w:rsid w:val="00644D55"/>
    <w:rsid w:val="00646FF7"/>
    <w:rsid w:val="006500AC"/>
    <w:rsid w:val="00651323"/>
    <w:rsid w:val="006528F2"/>
    <w:rsid w:val="00653559"/>
    <w:rsid w:val="00655D6A"/>
    <w:rsid w:val="00655E80"/>
    <w:rsid w:val="00656A65"/>
    <w:rsid w:val="006578BB"/>
    <w:rsid w:val="00657A0F"/>
    <w:rsid w:val="00660A08"/>
    <w:rsid w:val="006645BE"/>
    <w:rsid w:val="006648F5"/>
    <w:rsid w:val="00664EA0"/>
    <w:rsid w:val="006662E8"/>
    <w:rsid w:val="0067044E"/>
    <w:rsid w:val="00670D17"/>
    <w:rsid w:val="00671040"/>
    <w:rsid w:val="0067321D"/>
    <w:rsid w:val="006734B3"/>
    <w:rsid w:val="0067356E"/>
    <w:rsid w:val="00673D6E"/>
    <w:rsid w:val="00675507"/>
    <w:rsid w:val="0067685D"/>
    <w:rsid w:val="006774C2"/>
    <w:rsid w:val="006811AD"/>
    <w:rsid w:val="00681C8F"/>
    <w:rsid w:val="00685044"/>
    <w:rsid w:val="006907EE"/>
    <w:rsid w:val="00691C2F"/>
    <w:rsid w:val="0069370B"/>
    <w:rsid w:val="00694026"/>
    <w:rsid w:val="006947B7"/>
    <w:rsid w:val="006969E7"/>
    <w:rsid w:val="006A07CA"/>
    <w:rsid w:val="006A207B"/>
    <w:rsid w:val="006A2E42"/>
    <w:rsid w:val="006A5032"/>
    <w:rsid w:val="006A5B0E"/>
    <w:rsid w:val="006A6A22"/>
    <w:rsid w:val="006B218E"/>
    <w:rsid w:val="006B28BE"/>
    <w:rsid w:val="006B47CF"/>
    <w:rsid w:val="006B4DED"/>
    <w:rsid w:val="006B740B"/>
    <w:rsid w:val="006C024A"/>
    <w:rsid w:val="006C1819"/>
    <w:rsid w:val="006C29FB"/>
    <w:rsid w:val="006C4E6F"/>
    <w:rsid w:val="006D0366"/>
    <w:rsid w:val="006D09F9"/>
    <w:rsid w:val="006D3593"/>
    <w:rsid w:val="006D3BB4"/>
    <w:rsid w:val="006D3F0B"/>
    <w:rsid w:val="006D5799"/>
    <w:rsid w:val="006D60AB"/>
    <w:rsid w:val="006D6B92"/>
    <w:rsid w:val="006E10BF"/>
    <w:rsid w:val="006E2489"/>
    <w:rsid w:val="006E47EC"/>
    <w:rsid w:val="006E4C28"/>
    <w:rsid w:val="006E4DA8"/>
    <w:rsid w:val="006E74E4"/>
    <w:rsid w:val="006E79DF"/>
    <w:rsid w:val="006E7C1C"/>
    <w:rsid w:val="006E7CF8"/>
    <w:rsid w:val="006F0257"/>
    <w:rsid w:val="006F0654"/>
    <w:rsid w:val="006F0B62"/>
    <w:rsid w:val="006F0F2D"/>
    <w:rsid w:val="006F1516"/>
    <w:rsid w:val="006F231E"/>
    <w:rsid w:val="006F4A07"/>
    <w:rsid w:val="006F690E"/>
    <w:rsid w:val="006F74C9"/>
    <w:rsid w:val="0070276F"/>
    <w:rsid w:val="00703C2D"/>
    <w:rsid w:val="007048DE"/>
    <w:rsid w:val="007065B1"/>
    <w:rsid w:val="007073F6"/>
    <w:rsid w:val="00707430"/>
    <w:rsid w:val="007118F5"/>
    <w:rsid w:val="0071286E"/>
    <w:rsid w:val="007133CF"/>
    <w:rsid w:val="0071506D"/>
    <w:rsid w:val="00715EC6"/>
    <w:rsid w:val="00720431"/>
    <w:rsid w:val="00721F92"/>
    <w:rsid w:val="00722974"/>
    <w:rsid w:val="007308CD"/>
    <w:rsid w:val="007317AD"/>
    <w:rsid w:val="007320EA"/>
    <w:rsid w:val="00733196"/>
    <w:rsid w:val="0073324E"/>
    <w:rsid w:val="007337E8"/>
    <w:rsid w:val="00734278"/>
    <w:rsid w:val="00734F0B"/>
    <w:rsid w:val="00737E44"/>
    <w:rsid w:val="00740B1E"/>
    <w:rsid w:val="0074108E"/>
    <w:rsid w:val="00741135"/>
    <w:rsid w:val="00742F27"/>
    <w:rsid w:val="00742FDD"/>
    <w:rsid w:val="007435E3"/>
    <w:rsid w:val="00744AB6"/>
    <w:rsid w:val="007451EC"/>
    <w:rsid w:val="00745803"/>
    <w:rsid w:val="00746B42"/>
    <w:rsid w:val="0075039D"/>
    <w:rsid w:val="00751279"/>
    <w:rsid w:val="00751324"/>
    <w:rsid w:val="00751DAF"/>
    <w:rsid w:val="00753159"/>
    <w:rsid w:val="007544A5"/>
    <w:rsid w:val="00754706"/>
    <w:rsid w:val="007569BB"/>
    <w:rsid w:val="00761508"/>
    <w:rsid w:val="007618AA"/>
    <w:rsid w:val="007626C9"/>
    <w:rsid w:val="007644FB"/>
    <w:rsid w:val="00764773"/>
    <w:rsid w:val="00764B9C"/>
    <w:rsid w:val="0076624E"/>
    <w:rsid w:val="00766EDF"/>
    <w:rsid w:val="00770CBF"/>
    <w:rsid w:val="007712FB"/>
    <w:rsid w:val="007717E2"/>
    <w:rsid w:val="00773A77"/>
    <w:rsid w:val="007740D4"/>
    <w:rsid w:val="007756B0"/>
    <w:rsid w:val="00776A54"/>
    <w:rsid w:val="00782959"/>
    <w:rsid w:val="00782E30"/>
    <w:rsid w:val="00785E5E"/>
    <w:rsid w:val="0078600B"/>
    <w:rsid w:val="00786C24"/>
    <w:rsid w:val="00790676"/>
    <w:rsid w:val="007911FF"/>
    <w:rsid w:val="00791410"/>
    <w:rsid w:val="007937AE"/>
    <w:rsid w:val="00793DE6"/>
    <w:rsid w:val="00793E8B"/>
    <w:rsid w:val="007958F2"/>
    <w:rsid w:val="007A1165"/>
    <w:rsid w:val="007A1B5F"/>
    <w:rsid w:val="007A4F3E"/>
    <w:rsid w:val="007A5985"/>
    <w:rsid w:val="007A6905"/>
    <w:rsid w:val="007A6B3D"/>
    <w:rsid w:val="007A777F"/>
    <w:rsid w:val="007B10F6"/>
    <w:rsid w:val="007B1260"/>
    <w:rsid w:val="007B1BE5"/>
    <w:rsid w:val="007B368E"/>
    <w:rsid w:val="007B54DF"/>
    <w:rsid w:val="007B5B14"/>
    <w:rsid w:val="007B5D05"/>
    <w:rsid w:val="007C304F"/>
    <w:rsid w:val="007C6504"/>
    <w:rsid w:val="007C78D3"/>
    <w:rsid w:val="007C7B57"/>
    <w:rsid w:val="007D127B"/>
    <w:rsid w:val="007D2DD6"/>
    <w:rsid w:val="007D5138"/>
    <w:rsid w:val="007D6A05"/>
    <w:rsid w:val="007D6E52"/>
    <w:rsid w:val="007E0C39"/>
    <w:rsid w:val="007E1330"/>
    <w:rsid w:val="007E1D18"/>
    <w:rsid w:val="007E39D1"/>
    <w:rsid w:val="007E3EB8"/>
    <w:rsid w:val="007E4FA1"/>
    <w:rsid w:val="007E7BE8"/>
    <w:rsid w:val="007F2D1E"/>
    <w:rsid w:val="007F3038"/>
    <w:rsid w:val="007F4C86"/>
    <w:rsid w:val="007F6A18"/>
    <w:rsid w:val="007F6F6D"/>
    <w:rsid w:val="007F7257"/>
    <w:rsid w:val="00800CF5"/>
    <w:rsid w:val="00805ADB"/>
    <w:rsid w:val="00812452"/>
    <w:rsid w:val="00812A4F"/>
    <w:rsid w:val="008133F4"/>
    <w:rsid w:val="00814167"/>
    <w:rsid w:val="008150C1"/>
    <w:rsid w:val="00820448"/>
    <w:rsid w:val="00826923"/>
    <w:rsid w:val="00832774"/>
    <w:rsid w:val="008342F5"/>
    <w:rsid w:val="0083461E"/>
    <w:rsid w:val="00834A9F"/>
    <w:rsid w:val="008364E5"/>
    <w:rsid w:val="00837B04"/>
    <w:rsid w:val="0084090A"/>
    <w:rsid w:val="00840C80"/>
    <w:rsid w:val="00841290"/>
    <w:rsid w:val="0084221C"/>
    <w:rsid w:val="0084393C"/>
    <w:rsid w:val="00847A89"/>
    <w:rsid w:val="00853068"/>
    <w:rsid w:val="00861669"/>
    <w:rsid w:val="008632DB"/>
    <w:rsid w:val="008640A5"/>
    <w:rsid w:val="00865821"/>
    <w:rsid w:val="00865AFA"/>
    <w:rsid w:val="00865FA0"/>
    <w:rsid w:val="008664A8"/>
    <w:rsid w:val="00866C67"/>
    <w:rsid w:val="00866E96"/>
    <w:rsid w:val="008739DC"/>
    <w:rsid w:val="00874634"/>
    <w:rsid w:val="00875A34"/>
    <w:rsid w:val="00875EA5"/>
    <w:rsid w:val="008818A1"/>
    <w:rsid w:val="00881D4B"/>
    <w:rsid w:val="00884BEA"/>
    <w:rsid w:val="00891AE7"/>
    <w:rsid w:val="008924AA"/>
    <w:rsid w:val="00895870"/>
    <w:rsid w:val="008A0324"/>
    <w:rsid w:val="008A1155"/>
    <w:rsid w:val="008A3181"/>
    <w:rsid w:val="008A55E6"/>
    <w:rsid w:val="008A5FAB"/>
    <w:rsid w:val="008B1B75"/>
    <w:rsid w:val="008B2F46"/>
    <w:rsid w:val="008B3518"/>
    <w:rsid w:val="008B37E0"/>
    <w:rsid w:val="008B5A12"/>
    <w:rsid w:val="008B7E23"/>
    <w:rsid w:val="008C38F2"/>
    <w:rsid w:val="008C53CB"/>
    <w:rsid w:val="008C5A27"/>
    <w:rsid w:val="008C6663"/>
    <w:rsid w:val="008C66F9"/>
    <w:rsid w:val="008C782A"/>
    <w:rsid w:val="008C7ADC"/>
    <w:rsid w:val="008D4A27"/>
    <w:rsid w:val="008E0A18"/>
    <w:rsid w:val="008E1083"/>
    <w:rsid w:val="008E3872"/>
    <w:rsid w:val="008E729D"/>
    <w:rsid w:val="008F22A2"/>
    <w:rsid w:val="008F5112"/>
    <w:rsid w:val="008F5DD0"/>
    <w:rsid w:val="008F6703"/>
    <w:rsid w:val="00900D78"/>
    <w:rsid w:val="00901BED"/>
    <w:rsid w:val="00901C1E"/>
    <w:rsid w:val="00910FE1"/>
    <w:rsid w:val="0091229B"/>
    <w:rsid w:val="00912D25"/>
    <w:rsid w:val="00915C96"/>
    <w:rsid w:val="00915D77"/>
    <w:rsid w:val="00916DF8"/>
    <w:rsid w:val="0091758E"/>
    <w:rsid w:val="009214B7"/>
    <w:rsid w:val="009216A8"/>
    <w:rsid w:val="00921C68"/>
    <w:rsid w:val="00925108"/>
    <w:rsid w:val="0092673B"/>
    <w:rsid w:val="0093134E"/>
    <w:rsid w:val="00931786"/>
    <w:rsid w:val="0093692C"/>
    <w:rsid w:val="00937ABE"/>
    <w:rsid w:val="00940F1B"/>
    <w:rsid w:val="009433A6"/>
    <w:rsid w:val="00945925"/>
    <w:rsid w:val="00945B4E"/>
    <w:rsid w:val="00946302"/>
    <w:rsid w:val="009512C1"/>
    <w:rsid w:val="0095216E"/>
    <w:rsid w:val="00952DE4"/>
    <w:rsid w:val="00953C30"/>
    <w:rsid w:val="009568EF"/>
    <w:rsid w:val="00956B79"/>
    <w:rsid w:val="009657F3"/>
    <w:rsid w:val="00965F6B"/>
    <w:rsid w:val="00970D92"/>
    <w:rsid w:val="00970F4C"/>
    <w:rsid w:val="0097130A"/>
    <w:rsid w:val="00974D94"/>
    <w:rsid w:val="009751B0"/>
    <w:rsid w:val="009774FE"/>
    <w:rsid w:val="009832F8"/>
    <w:rsid w:val="009839DA"/>
    <w:rsid w:val="00984110"/>
    <w:rsid w:val="00985E49"/>
    <w:rsid w:val="00991418"/>
    <w:rsid w:val="00994476"/>
    <w:rsid w:val="00994B0E"/>
    <w:rsid w:val="00995E55"/>
    <w:rsid w:val="00996479"/>
    <w:rsid w:val="0099700D"/>
    <w:rsid w:val="00997347"/>
    <w:rsid w:val="009A012A"/>
    <w:rsid w:val="009A0338"/>
    <w:rsid w:val="009A0B59"/>
    <w:rsid w:val="009A1CD3"/>
    <w:rsid w:val="009A44A4"/>
    <w:rsid w:val="009A4A5D"/>
    <w:rsid w:val="009A5EEF"/>
    <w:rsid w:val="009B18EB"/>
    <w:rsid w:val="009B368A"/>
    <w:rsid w:val="009B4257"/>
    <w:rsid w:val="009B5AB7"/>
    <w:rsid w:val="009B5D1A"/>
    <w:rsid w:val="009B7ED0"/>
    <w:rsid w:val="009C153E"/>
    <w:rsid w:val="009C28DE"/>
    <w:rsid w:val="009C2C5E"/>
    <w:rsid w:val="009C40E7"/>
    <w:rsid w:val="009C6680"/>
    <w:rsid w:val="009D0838"/>
    <w:rsid w:val="009D0C9F"/>
    <w:rsid w:val="009D10B2"/>
    <w:rsid w:val="009D2543"/>
    <w:rsid w:val="009D64E4"/>
    <w:rsid w:val="009E0C1C"/>
    <w:rsid w:val="009E1697"/>
    <w:rsid w:val="009E20F1"/>
    <w:rsid w:val="009E2A1E"/>
    <w:rsid w:val="009E2BB7"/>
    <w:rsid w:val="009E329B"/>
    <w:rsid w:val="009E38EA"/>
    <w:rsid w:val="009E4058"/>
    <w:rsid w:val="009E5594"/>
    <w:rsid w:val="009F10CD"/>
    <w:rsid w:val="009F18AD"/>
    <w:rsid w:val="009F4A6C"/>
    <w:rsid w:val="009F517D"/>
    <w:rsid w:val="009F6554"/>
    <w:rsid w:val="009F7BE9"/>
    <w:rsid w:val="009F7F98"/>
    <w:rsid w:val="00A02F58"/>
    <w:rsid w:val="00A032AE"/>
    <w:rsid w:val="00A03749"/>
    <w:rsid w:val="00A03C76"/>
    <w:rsid w:val="00A048D2"/>
    <w:rsid w:val="00A10DAC"/>
    <w:rsid w:val="00A1485F"/>
    <w:rsid w:val="00A31988"/>
    <w:rsid w:val="00A34FE2"/>
    <w:rsid w:val="00A35FDA"/>
    <w:rsid w:val="00A360E8"/>
    <w:rsid w:val="00A41736"/>
    <w:rsid w:val="00A43268"/>
    <w:rsid w:val="00A4395F"/>
    <w:rsid w:val="00A43B9C"/>
    <w:rsid w:val="00A4581B"/>
    <w:rsid w:val="00A45BD4"/>
    <w:rsid w:val="00A46132"/>
    <w:rsid w:val="00A46B06"/>
    <w:rsid w:val="00A471E3"/>
    <w:rsid w:val="00A47CF3"/>
    <w:rsid w:val="00A47DDA"/>
    <w:rsid w:val="00A509C6"/>
    <w:rsid w:val="00A510E6"/>
    <w:rsid w:val="00A52702"/>
    <w:rsid w:val="00A52A49"/>
    <w:rsid w:val="00A53335"/>
    <w:rsid w:val="00A53C94"/>
    <w:rsid w:val="00A53DBD"/>
    <w:rsid w:val="00A54EC4"/>
    <w:rsid w:val="00A55CCC"/>
    <w:rsid w:val="00A56DD8"/>
    <w:rsid w:val="00A6017D"/>
    <w:rsid w:val="00A61239"/>
    <w:rsid w:val="00A63104"/>
    <w:rsid w:val="00A63DB6"/>
    <w:rsid w:val="00A64309"/>
    <w:rsid w:val="00A6484C"/>
    <w:rsid w:val="00A64A02"/>
    <w:rsid w:val="00A656C0"/>
    <w:rsid w:val="00A6589C"/>
    <w:rsid w:val="00A66688"/>
    <w:rsid w:val="00A66D79"/>
    <w:rsid w:val="00A77540"/>
    <w:rsid w:val="00A81DF0"/>
    <w:rsid w:val="00A8266F"/>
    <w:rsid w:val="00A843B5"/>
    <w:rsid w:val="00A855EA"/>
    <w:rsid w:val="00A86B3F"/>
    <w:rsid w:val="00A86F4D"/>
    <w:rsid w:val="00A9067B"/>
    <w:rsid w:val="00A90E80"/>
    <w:rsid w:val="00A91561"/>
    <w:rsid w:val="00A91FCD"/>
    <w:rsid w:val="00A96579"/>
    <w:rsid w:val="00A971B8"/>
    <w:rsid w:val="00A9791E"/>
    <w:rsid w:val="00AA1DFA"/>
    <w:rsid w:val="00AA363D"/>
    <w:rsid w:val="00AA51CE"/>
    <w:rsid w:val="00AA5218"/>
    <w:rsid w:val="00AA7C77"/>
    <w:rsid w:val="00AB1368"/>
    <w:rsid w:val="00AB37F4"/>
    <w:rsid w:val="00AB6561"/>
    <w:rsid w:val="00AB6BAD"/>
    <w:rsid w:val="00AC1945"/>
    <w:rsid w:val="00AC433F"/>
    <w:rsid w:val="00AC4B04"/>
    <w:rsid w:val="00AC5D55"/>
    <w:rsid w:val="00AC64F5"/>
    <w:rsid w:val="00AC7088"/>
    <w:rsid w:val="00AD0A31"/>
    <w:rsid w:val="00AD1A48"/>
    <w:rsid w:val="00AD1B06"/>
    <w:rsid w:val="00AD6104"/>
    <w:rsid w:val="00AD6C55"/>
    <w:rsid w:val="00AD73D3"/>
    <w:rsid w:val="00AE00A9"/>
    <w:rsid w:val="00AE0D84"/>
    <w:rsid w:val="00AF05B5"/>
    <w:rsid w:val="00AF2D89"/>
    <w:rsid w:val="00AF422A"/>
    <w:rsid w:val="00AF441F"/>
    <w:rsid w:val="00AF5A76"/>
    <w:rsid w:val="00AF7DA4"/>
    <w:rsid w:val="00B00EBD"/>
    <w:rsid w:val="00B0370E"/>
    <w:rsid w:val="00B03E68"/>
    <w:rsid w:val="00B05E35"/>
    <w:rsid w:val="00B07AF5"/>
    <w:rsid w:val="00B124BD"/>
    <w:rsid w:val="00B12FB8"/>
    <w:rsid w:val="00B13C4C"/>
    <w:rsid w:val="00B142D8"/>
    <w:rsid w:val="00B15785"/>
    <w:rsid w:val="00B20778"/>
    <w:rsid w:val="00B21283"/>
    <w:rsid w:val="00B21C13"/>
    <w:rsid w:val="00B2228C"/>
    <w:rsid w:val="00B22390"/>
    <w:rsid w:val="00B23754"/>
    <w:rsid w:val="00B23C64"/>
    <w:rsid w:val="00B244A1"/>
    <w:rsid w:val="00B24F72"/>
    <w:rsid w:val="00B25F3E"/>
    <w:rsid w:val="00B27419"/>
    <w:rsid w:val="00B3106D"/>
    <w:rsid w:val="00B328AE"/>
    <w:rsid w:val="00B329B9"/>
    <w:rsid w:val="00B330C2"/>
    <w:rsid w:val="00B37406"/>
    <w:rsid w:val="00B404DF"/>
    <w:rsid w:val="00B40DE9"/>
    <w:rsid w:val="00B419C8"/>
    <w:rsid w:val="00B4227A"/>
    <w:rsid w:val="00B43B8D"/>
    <w:rsid w:val="00B43EEA"/>
    <w:rsid w:val="00B43F6D"/>
    <w:rsid w:val="00B442A2"/>
    <w:rsid w:val="00B44ADE"/>
    <w:rsid w:val="00B46712"/>
    <w:rsid w:val="00B47CFB"/>
    <w:rsid w:val="00B52482"/>
    <w:rsid w:val="00B524EE"/>
    <w:rsid w:val="00B5287E"/>
    <w:rsid w:val="00B54D5B"/>
    <w:rsid w:val="00B638FE"/>
    <w:rsid w:val="00B6401E"/>
    <w:rsid w:val="00B643B9"/>
    <w:rsid w:val="00B652A1"/>
    <w:rsid w:val="00B67EE8"/>
    <w:rsid w:val="00B702C0"/>
    <w:rsid w:val="00B7335B"/>
    <w:rsid w:val="00B735DD"/>
    <w:rsid w:val="00B73603"/>
    <w:rsid w:val="00B737D1"/>
    <w:rsid w:val="00B74275"/>
    <w:rsid w:val="00B7459B"/>
    <w:rsid w:val="00B749AC"/>
    <w:rsid w:val="00B749E2"/>
    <w:rsid w:val="00B74CE9"/>
    <w:rsid w:val="00B74F56"/>
    <w:rsid w:val="00B7553C"/>
    <w:rsid w:val="00B75C20"/>
    <w:rsid w:val="00B7662B"/>
    <w:rsid w:val="00B80C2F"/>
    <w:rsid w:val="00B81FA8"/>
    <w:rsid w:val="00B82635"/>
    <w:rsid w:val="00B82C51"/>
    <w:rsid w:val="00B82E71"/>
    <w:rsid w:val="00B83AA3"/>
    <w:rsid w:val="00B91F39"/>
    <w:rsid w:val="00B931AF"/>
    <w:rsid w:val="00B95B8E"/>
    <w:rsid w:val="00B97FAA"/>
    <w:rsid w:val="00BA2241"/>
    <w:rsid w:val="00BA4F96"/>
    <w:rsid w:val="00BA5D85"/>
    <w:rsid w:val="00BA6688"/>
    <w:rsid w:val="00BA6C26"/>
    <w:rsid w:val="00BA6F4B"/>
    <w:rsid w:val="00BB7E95"/>
    <w:rsid w:val="00BC1A5D"/>
    <w:rsid w:val="00BC34D3"/>
    <w:rsid w:val="00BC6808"/>
    <w:rsid w:val="00BC71E1"/>
    <w:rsid w:val="00BD2962"/>
    <w:rsid w:val="00BD5D49"/>
    <w:rsid w:val="00BD643D"/>
    <w:rsid w:val="00BE193B"/>
    <w:rsid w:val="00BE28AA"/>
    <w:rsid w:val="00BE3D76"/>
    <w:rsid w:val="00BE41D3"/>
    <w:rsid w:val="00BE720A"/>
    <w:rsid w:val="00BE7698"/>
    <w:rsid w:val="00BE77F3"/>
    <w:rsid w:val="00BF1BFB"/>
    <w:rsid w:val="00BF3ECC"/>
    <w:rsid w:val="00BF41E2"/>
    <w:rsid w:val="00BF43F8"/>
    <w:rsid w:val="00BF4978"/>
    <w:rsid w:val="00BF4E1E"/>
    <w:rsid w:val="00C0077A"/>
    <w:rsid w:val="00C0670D"/>
    <w:rsid w:val="00C06BF8"/>
    <w:rsid w:val="00C06E55"/>
    <w:rsid w:val="00C07A0C"/>
    <w:rsid w:val="00C107F6"/>
    <w:rsid w:val="00C11009"/>
    <w:rsid w:val="00C1155D"/>
    <w:rsid w:val="00C11B34"/>
    <w:rsid w:val="00C12D6A"/>
    <w:rsid w:val="00C13590"/>
    <w:rsid w:val="00C13B59"/>
    <w:rsid w:val="00C14300"/>
    <w:rsid w:val="00C1458C"/>
    <w:rsid w:val="00C145CF"/>
    <w:rsid w:val="00C221D7"/>
    <w:rsid w:val="00C2331C"/>
    <w:rsid w:val="00C27302"/>
    <w:rsid w:val="00C30188"/>
    <w:rsid w:val="00C30F72"/>
    <w:rsid w:val="00C312C0"/>
    <w:rsid w:val="00C3560E"/>
    <w:rsid w:val="00C41926"/>
    <w:rsid w:val="00C42A34"/>
    <w:rsid w:val="00C42FB9"/>
    <w:rsid w:val="00C4488A"/>
    <w:rsid w:val="00C44F69"/>
    <w:rsid w:val="00C47968"/>
    <w:rsid w:val="00C50E30"/>
    <w:rsid w:val="00C5219D"/>
    <w:rsid w:val="00C52BDA"/>
    <w:rsid w:val="00C55556"/>
    <w:rsid w:val="00C578BE"/>
    <w:rsid w:val="00C61129"/>
    <w:rsid w:val="00C640B2"/>
    <w:rsid w:val="00C66116"/>
    <w:rsid w:val="00C66800"/>
    <w:rsid w:val="00C66EF3"/>
    <w:rsid w:val="00C702FF"/>
    <w:rsid w:val="00C72CF8"/>
    <w:rsid w:val="00C74E37"/>
    <w:rsid w:val="00C7756D"/>
    <w:rsid w:val="00C80833"/>
    <w:rsid w:val="00C846A4"/>
    <w:rsid w:val="00C847EE"/>
    <w:rsid w:val="00C853D5"/>
    <w:rsid w:val="00C91BDD"/>
    <w:rsid w:val="00C93751"/>
    <w:rsid w:val="00C955F4"/>
    <w:rsid w:val="00C96336"/>
    <w:rsid w:val="00CA1B43"/>
    <w:rsid w:val="00CA6C99"/>
    <w:rsid w:val="00CB02F7"/>
    <w:rsid w:val="00CB25A2"/>
    <w:rsid w:val="00CB3D04"/>
    <w:rsid w:val="00CB4B5C"/>
    <w:rsid w:val="00CB5499"/>
    <w:rsid w:val="00CB7336"/>
    <w:rsid w:val="00CC0E92"/>
    <w:rsid w:val="00CC2015"/>
    <w:rsid w:val="00CC26EB"/>
    <w:rsid w:val="00CC59E5"/>
    <w:rsid w:val="00CD2F67"/>
    <w:rsid w:val="00CD3754"/>
    <w:rsid w:val="00CD5E04"/>
    <w:rsid w:val="00CD5E74"/>
    <w:rsid w:val="00CE0239"/>
    <w:rsid w:val="00CE132D"/>
    <w:rsid w:val="00CE3BEA"/>
    <w:rsid w:val="00CE499C"/>
    <w:rsid w:val="00CE79ED"/>
    <w:rsid w:val="00CE7C3A"/>
    <w:rsid w:val="00CF02AE"/>
    <w:rsid w:val="00CF04AE"/>
    <w:rsid w:val="00CF34B2"/>
    <w:rsid w:val="00CF6065"/>
    <w:rsid w:val="00D033DF"/>
    <w:rsid w:val="00D03D06"/>
    <w:rsid w:val="00D05B64"/>
    <w:rsid w:val="00D06A43"/>
    <w:rsid w:val="00D07942"/>
    <w:rsid w:val="00D079BC"/>
    <w:rsid w:val="00D07EEE"/>
    <w:rsid w:val="00D129A7"/>
    <w:rsid w:val="00D12CC9"/>
    <w:rsid w:val="00D13792"/>
    <w:rsid w:val="00D147C9"/>
    <w:rsid w:val="00D169DA"/>
    <w:rsid w:val="00D16A0C"/>
    <w:rsid w:val="00D20BD9"/>
    <w:rsid w:val="00D21E2D"/>
    <w:rsid w:val="00D22B42"/>
    <w:rsid w:val="00D233EB"/>
    <w:rsid w:val="00D26972"/>
    <w:rsid w:val="00D270DF"/>
    <w:rsid w:val="00D30647"/>
    <w:rsid w:val="00D32ECA"/>
    <w:rsid w:val="00D3351A"/>
    <w:rsid w:val="00D34147"/>
    <w:rsid w:val="00D343F2"/>
    <w:rsid w:val="00D36AF6"/>
    <w:rsid w:val="00D36E09"/>
    <w:rsid w:val="00D41969"/>
    <w:rsid w:val="00D44632"/>
    <w:rsid w:val="00D44EA3"/>
    <w:rsid w:val="00D450BB"/>
    <w:rsid w:val="00D47C35"/>
    <w:rsid w:val="00D5506A"/>
    <w:rsid w:val="00D5552B"/>
    <w:rsid w:val="00D557FD"/>
    <w:rsid w:val="00D569A1"/>
    <w:rsid w:val="00D61557"/>
    <w:rsid w:val="00D618A4"/>
    <w:rsid w:val="00D632A3"/>
    <w:rsid w:val="00D64ACB"/>
    <w:rsid w:val="00D65589"/>
    <w:rsid w:val="00D65A71"/>
    <w:rsid w:val="00D65BB5"/>
    <w:rsid w:val="00D6788F"/>
    <w:rsid w:val="00D70EC5"/>
    <w:rsid w:val="00D755D9"/>
    <w:rsid w:val="00D764DB"/>
    <w:rsid w:val="00D76947"/>
    <w:rsid w:val="00D820FB"/>
    <w:rsid w:val="00D82C29"/>
    <w:rsid w:val="00D84A39"/>
    <w:rsid w:val="00D85131"/>
    <w:rsid w:val="00D8543B"/>
    <w:rsid w:val="00DA03FE"/>
    <w:rsid w:val="00DA064C"/>
    <w:rsid w:val="00DA2795"/>
    <w:rsid w:val="00DA2CD8"/>
    <w:rsid w:val="00DA4021"/>
    <w:rsid w:val="00DA548C"/>
    <w:rsid w:val="00DA6047"/>
    <w:rsid w:val="00DA7B93"/>
    <w:rsid w:val="00DB072F"/>
    <w:rsid w:val="00DB2554"/>
    <w:rsid w:val="00DC1151"/>
    <w:rsid w:val="00DC3579"/>
    <w:rsid w:val="00DC3612"/>
    <w:rsid w:val="00DC4D0A"/>
    <w:rsid w:val="00DC5066"/>
    <w:rsid w:val="00DC7395"/>
    <w:rsid w:val="00DD3EDC"/>
    <w:rsid w:val="00DD63B1"/>
    <w:rsid w:val="00DD7B65"/>
    <w:rsid w:val="00DE2383"/>
    <w:rsid w:val="00DE5CED"/>
    <w:rsid w:val="00DF1D91"/>
    <w:rsid w:val="00DF24B9"/>
    <w:rsid w:val="00DF3624"/>
    <w:rsid w:val="00DF5042"/>
    <w:rsid w:val="00DF5EB7"/>
    <w:rsid w:val="00DF5FD1"/>
    <w:rsid w:val="00DF6A23"/>
    <w:rsid w:val="00DF7F00"/>
    <w:rsid w:val="00E0071F"/>
    <w:rsid w:val="00E00FDB"/>
    <w:rsid w:val="00E021C1"/>
    <w:rsid w:val="00E02DCD"/>
    <w:rsid w:val="00E04A24"/>
    <w:rsid w:val="00E0564D"/>
    <w:rsid w:val="00E07987"/>
    <w:rsid w:val="00E10926"/>
    <w:rsid w:val="00E13590"/>
    <w:rsid w:val="00E13712"/>
    <w:rsid w:val="00E271E4"/>
    <w:rsid w:val="00E27214"/>
    <w:rsid w:val="00E31B37"/>
    <w:rsid w:val="00E32C84"/>
    <w:rsid w:val="00E33CB7"/>
    <w:rsid w:val="00E34912"/>
    <w:rsid w:val="00E3564C"/>
    <w:rsid w:val="00E35E72"/>
    <w:rsid w:val="00E36380"/>
    <w:rsid w:val="00E41079"/>
    <w:rsid w:val="00E42721"/>
    <w:rsid w:val="00E43490"/>
    <w:rsid w:val="00E44AF0"/>
    <w:rsid w:val="00E44BC4"/>
    <w:rsid w:val="00E47AE6"/>
    <w:rsid w:val="00E5082E"/>
    <w:rsid w:val="00E513CC"/>
    <w:rsid w:val="00E51A66"/>
    <w:rsid w:val="00E52A9E"/>
    <w:rsid w:val="00E5415A"/>
    <w:rsid w:val="00E5487E"/>
    <w:rsid w:val="00E54C30"/>
    <w:rsid w:val="00E55349"/>
    <w:rsid w:val="00E55557"/>
    <w:rsid w:val="00E62ED2"/>
    <w:rsid w:val="00E658A1"/>
    <w:rsid w:val="00E65CF9"/>
    <w:rsid w:val="00E671FC"/>
    <w:rsid w:val="00E73672"/>
    <w:rsid w:val="00E7397F"/>
    <w:rsid w:val="00E739FB"/>
    <w:rsid w:val="00E75990"/>
    <w:rsid w:val="00E75D3B"/>
    <w:rsid w:val="00E76BB5"/>
    <w:rsid w:val="00E76CA1"/>
    <w:rsid w:val="00E76F75"/>
    <w:rsid w:val="00E84BB9"/>
    <w:rsid w:val="00E84FA2"/>
    <w:rsid w:val="00E876A0"/>
    <w:rsid w:val="00E87ACC"/>
    <w:rsid w:val="00E928D7"/>
    <w:rsid w:val="00E94678"/>
    <w:rsid w:val="00E97C4A"/>
    <w:rsid w:val="00EA0448"/>
    <w:rsid w:val="00EB067A"/>
    <w:rsid w:val="00EB0852"/>
    <w:rsid w:val="00EB1536"/>
    <w:rsid w:val="00EB1C20"/>
    <w:rsid w:val="00EB2B6A"/>
    <w:rsid w:val="00EB4C46"/>
    <w:rsid w:val="00EB53B4"/>
    <w:rsid w:val="00EC18C3"/>
    <w:rsid w:val="00EC19E1"/>
    <w:rsid w:val="00EC3396"/>
    <w:rsid w:val="00EC5F32"/>
    <w:rsid w:val="00EC5F36"/>
    <w:rsid w:val="00EC6777"/>
    <w:rsid w:val="00EC6E52"/>
    <w:rsid w:val="00ED1554"/>
    <w:rsid w:val="00ED1595"/>
    <w:rsid w:val="00ED3A8A"/>
    <w:rsid w:val="00ED4F8D"/>
    <w:rsid w:val="00ED6399"/>
    <w:rsid w:val="00ED6A0B"/>
    <w:rsid w:val="00ED7365"/>
    <w:rsid w:val="00ED7FBD"/>
    <w:rsid w:val="00EE0A91"/>
    <w:rsid w:val="00EE28CD"/>
    <w:rsid w:val="00EE45FD"/>
    <w:rsid w:val="00EE5DF0"/>
    <w:rsid w:val="00EE6B58"/>
    <w:rsid w:val="00EF0156"/>
    <w:rsid w:val="00EF10E8"/>
    <w:rsid w:val="00EF34F7"/>
    <w:rsid w:val="00EF3746"/>
    <w:rsid w:val="00EF7901"/>
    <w:rsid w:val="00F0059C"/>
    <w:rsid w:val="00F00E26"/>
    <w:rsid w:val="00F00ED9"/>
    <w:rsid w:val="00F04C11"/>
    <w:rsid w:val="00F05682"/>
    <w:rsid w:val="00F119C6"/>
    <w:rsid w:val="00F133DE"/>
    <w:rsid w:val="00F13655"/>
    <w:rsid w:val="00F17161"/>
    <w:rsid w:val="00F177AC"/>
    <w:rsid w:val="00F17DD1"/>
    <w:rsid w:val="00F20F55"/>
    <w:rsid w:val="00F2227D"/>
    <w:rsid w:val="00F2233A"/>
    <w:rsid w:val="00F23D0F"/>
    <w:rsid w:val="00F244D5"/>
    <w:rsid w:val="00F2629E"/>
    <w:rsid w:val="00F270A2"/>
    <w:rsid w:val="00F32725"/>
    <w:rsid w:val="00F3457D"/>
    <w:rsid w:val="00F34857"/>
    <w:rsid w:val="00F3653F"/>
    <w:rsid w:val="00F36B57"/>
    <w:rsid w:val="00F37D8E"/>
    <w:rsid w:val="00F4283B"/>
    <w:rsid w:val="00F434C7"/>
    <w:rsid w:val="00F46F18"/>
    <w:rsid w:val="00F477CB"/>
    <w:rsid w:val="00F50D5D"/>
    <w:rsid w:val="00F51198"/>
    <w:rsid w:val="00F536DD"/>
    <w:rsid w:val="00F5504F"/>
    <w:rsid w:val="00F5578A"/>
    <w:rsid w:val="00F63B1C"/>
    <w:rsid w:val="00F63FBE"/>
    <w:rsid w:val="00F67A32"/>
    <w:rsid w:val="00F71684"/>
    <w:rsid w:val="00F72415"/>
    <w:rsid w:val="00F73AA8"/>
    <w:rsid w:val="00F75EBF"/>
    <w:rsid w:val="00F76C54"/>
    <w:rsid w:val="00F76F11"/>
    <w:rsid w:val="00F773B2"/>
    <w:rsid w:val="00F778A1"/>
    <w:rsid w:val="00F80B98"/>
    <w:rsid w:val="00F81B93"/>
    <w:rsid w:val="00F84319"/>
    <w:rsid w:val="00F858BA"/>
    <w:rsid w:val="00F86077"/>
    <w:rsid w:val="00F86697"/>
    <w:rsid w:val="00F90494"/>
    <w:rsid w:val="00F90BC0"/>
    <w:rsid w:val="00F92DC8"/>
    <w:rsid w:val="00F933A1"/>
    <w:rsid w:val="00FA0393"/>
    <w:rsid w:val="00FA11FC"/>
    <w:rsid w:val="00FA1F56"/>
    <w:rsid w:val="00FA2ECD"/>
    <w:rsid w:val="00FA3B7C"/>
    <w:rsid w:val="00FA49A7"/>
    <w:rsid w:val="00FA703B"/>
    <w:rsid w:val="00FB1CB1"/>
    <w:rsid w:val="00FB27F5"/>
    <w:rsid w:val="00FB4747"/>
    <w:rsid w:val="00FB55F4"/>
    <w:rsid w:val="00FB5C17"/>
    <w:rsid w:val="00FB6879"/>
    <w:rsid w:val="00FC11BE"/>
    <w:rsid w:val="00FC14D4"/>
    <w:rsid w:val="00FC1C72"/>
    <w:rsid w:val="00FC2F4B"/>
    <w:rsid w:val="00FC3FCB"/>
    <w:rsid w:val="00FC5060"/>
    <w:rsid w:val="00FC7475"/>
    <w:rsid w:val="00FD00AA"/>
    <w:rsid w:val="00FD0105"/>
    <w:rsid w:val="00FD0B1C"/>
    <w:rsid w:val="00FD2745"/>
    <w:rsid w:val="00FD2F25"/>
    <w:rsid w:val="00FD7A4A"/>
    <w:rsid w:val="00FE2242"/>
    <w:rsid w:val="00FE37B8"/>
    <w:rsid w:val="00FE41B0"/>
    <w:rsid w:val="00FE630C"/>
    <w:rsid w:val="00FE63C1"/>
    <w:rsid w:val="00FF6C7A"/>
    <w:rsid w:val="00FF7C07"/>
    <w:rsid w:val="01B6CBE8"/>
    <w:rsid w:val="01D6BDB3"/>
    <w:rsid w:val="020D73A1"/>
    <w:rsid w:val="02184D3E"/>
    <w:rsid w:val="022D43D8"/>
    <w:rsid w:val="02416EE1"/>
    <w:rsid w:val="024ECD91"/>
    <w:rsid w:val="03C5583F"/>
    <w:rsid w:val="0415BF4A"/>
    <w:rsid w:val="042D2F9B"/>
    <w:rsid w:val="04AAA692"/>
    <w:rsid w:val="058F89DF"/>
    <w:rsid w:val="059D30BB"/>
    <w:rsid w:val="06403D74"/>
    <w:rsid w:val="06549AF0"/>
    <w:rsid w:val="06C04684"/>
    <w:rsid w:val="0705275B"/>
    <w:rsid w:val="07634DBB"/>
    <w:rsid w:val="076B50BC"/>
    <w:rsid w:val="07B87205"/>
    <w:rsid w:val="07D39DC3"/>
    <w:rsid w:val="080CE50F"/>
    <w:rsid w:val="0859F0C9"/>
    <w:rsid w:val="087DB6D2"/>
    <w:rsid w:val="08C6658E"/>
    <w:rsid w:val="0903943F"/>
    <w:rsid w:val="09617C63"/>
    <w:rsid w:val="097BF200"/>
    <w:rsid w:val="09A8B570"/>
    <w:rsid w:val="0A032851"/>
    <w:rsid w:val="0B10D7A5"/>
    <w:rsid w:val="0B6FC598"/>
    <w:rsid w:val="0BCF8209"/>
    <w:rsid w:val="0BEEE24F"/>
    <w:rsid w:val="0C1A0D07"/>
    <w:rsid w:val="0C49B8B0"/>
    <w:rsid w:val="0C50EF65"/>
    <w:rsid w:val="0C5B863D"/>
    <w:rsid w:val="0C80BB5A"/>
    <w:rsid w:val="0C96B8B4"/>
    <w:rsid w:val="0CC6970D"/>
    <w:rsid w:val="0D16B538"/>
    <w:rsid w:val="0D1FF943"/>
    <w:rsid w:val="0D4B61DA"/>
    <w:rsid w:val="0D7BE3F8"/>
    <w:rsid w:val="0DEB73AF"/>
    <w:rsid w:val="0DEE58BB"/>
    <w:rsid w:val="0DF79889"/>
    <w:rsid w:val="0E2F7458"/>
    <w:rsid w:val="0E73F234"/>
    <w:rsid w:val="0EA083F7"/>
    <w:rsid w:val="0EBC00EE"/>
    <w:rsid w:val="0EE040D4"/>
    <w:rsid w:val="0F1A796D"/>
    <w:rsid w:val="0F48DE82"/>
    <w:rsid w:val="0FE254D9"/>
    <w:rsid w:val="10399981"/>
    <w:rsid w:val="10489E0B"/>
    <w:rsid w:val="107660BF"/>
    <w:rsid w:val="10844BED"/>
    <w:rsid w:val="10C0454E"/>
    <w:rsid w:val="110068C5"/>
    <w:rsid w:val="110EC6A2"/>
    <w:rsid w:val="11B3C755"/>
    <w:rsid w:val="11C0B3B1"/>
    <w:rsid w:val="1243FCB1"/>
    <w:rsid w:val="1340CC87"/>
    <w:rsid w:val="13D2C6B0"/>
    <w:rsid w:val="13EA5BF4"/>
    <w:rsid w:val="14EF8341"/>
    <w:rsid w:val="14F539C4"/>
    <w:rsid w:val="14F65DD8"/>
    <w:rsid w:val="1509B694"/>
    <w:rsid w:val="15925465"/>
    <w:rsid w:val="159E469E"/>
    <w:rsid w:val="160772F2"/>
    <w:rsid w:val="162915C3"/>
    <w:rsid w:val="16DDC787"/>
    <w:rsid w:val="16EE1C13"/>
    <w:rsid w:val="16F12AE4"/>
    <w:rsid w:val="178C09C4"/>
    <w:rsid w:val="179AA8E5"/>
    <w:rsid w:val="17DD950B"/>
    <w:rsid w:val="17FAB54A"/>
    <w:rsid w:val="18432A3D"/>
    <w:rsid w:val="187976B1"/>
    <w:rsid w:val="18AD385E"/>
    <w:rsid w:val="18D491AB"/>
    <w:rsid w:val="18EB5F6F"/>
    <w:rsid w:val="19353ED3"/>
    <w:rsid w:val="197C3AD3"/>
    <w:rsid w:val="19C6C6C0"/>
    <w:rsid w:val="19D757DF"/>
    <w:rsid w:val="1BAE087A"/>
    <w:rsid w:val="1BC392BC"/>
    <w:rsid w:val="1BFC4839"/>
    <w:rsid w:val="1C08BF08"/>
    <w:rsid w:val="1C308047"/>
    <w:rsid w:val="1C868024"/>
    <w:rsid w:val="1CE53F25"/>
    <w:rsid w:val="1D087E8C"/>
    <w:rsid w:val="1D3E1062"/>
    <w:rsid w:val="1D655AFD"/>
    <w:rsid w:val="1DA7E841"/>
    <w:rsid w:val="1DD10B29"/>
    <w:rsid w:val="1DE16335"/>
    <w:rsid w:val="1DE20890"/>
    <w:rsid w:val="1E2D0509"/>
    <w:rsid w:val="1E82484A"/>
    <w:rsid w:val="1E9FD3E1"/>
    <w:rsid w:val="1F101C21"/>
    <w:rsid w:val="1F57F447"/>
    <w:rsid w:val="1FC10A19"/>
    <w:rsid w:val="1FE90C43"/>
    <w:rsid w:val="2043B4B3"/>
    <w:rsid w:val="20762094"/>
    <w:rsid w:val="20A5F516"/>
    <w:rsid w:val="20ECC88D"/>
    <w:rsid w:val="212DCCA8"/>
    <w:rsid w:val="21CB0C80"/>
    <w:rsid w:val="21D24CD2"/>
    <w:rsid w:val="21D779FF"/>
    <w:rsid w:val="21DA12F7"/>
    <w:rsid w:val="221FAD38"/>
    <w:rsid w:val="224F1F7B"/>
    <w:rsid w:val="22DB6B58"/>
    <w:rsid w:val="234C6473"/>
    <w:rsid w:val="236DA906"/>
    <w:rsid w:val="23C8DC2B"/>
    <w:rsid w:val="2478661D"/>
    <w:rsid w:val="2496AC41"/>
    <w:rsid w:val="25233655"/>
    <w:rsid w:val="257B2490"/>
    <w:rsid w:val="258C068B"/>
    <w:rsid w:val="25FC1FFD"/>
    <w:rsid w:val="267631C3"/>
    <w:rsid w:val="26A4227B"/>
    <w:rsid w:val="2722D826"/>
    <w:rsid w:val="279BD8C4"/>
    <w:rsid w:val="286DB202"/>
    <w:rsid w:val="28746845"/>
    <w:rsid w:val="288264AD"/>
    <w:rsid w:val="28B50688"/>
    <w:rsid w:val="28CF17CD"/>
    <w:rsid w:val="292009E3"/>
    <w:rsid w:val="2921EDC4"/>
    <w:rsid w:val="292A9505"/>
    <w:rsid w:val="2A9BC32E"/>
    <w:rsid w:val="2AF6C05F"/>
    <w:rsid w:val="2B67FC8E"/>
    <w:rsid w:val="2B993393"/>
    <w:rsid w:val="2BA2D550"/>
    <w:rsid w:val="2BAB2B90"/>
    <w:rsid w:val="2D8E92E7"/>
    <w:rsid w:val="2E9A9CC8"/>
    <w:rsid w:val="2EA41FAC"/>
    <w:rsid w:val="2EDC13DA"/>
    <w:rsid w:val="2F1AD140"/>
    <w:rsid w:val="2F412861"/>
    <w:rsid w:val="2F8AF643"/>
    <w:rsid w:val="2FB8B804"/>
    <w:rsid w:val="2FE66F33"/>
    <w:rsid w:val="30A75C8A"/>
    <w:rsid w:val="30BB1039"/>
    <w:rsid w:val="30D5F98F"/>
    <w:rsid w:val="30F5B878"/>
    <w:rsid w:val="30FC60E4"/>
    <w:rsid w:val="310B034C"/>
    <w:rsid w:val="311B5F84"/>
    <w:rsid w:val="3153CC74"/>
    <w:rsid w:val="31AE62EB"/>
    <w:rsid w:val="31B7CCBB"/>
    <w:rsid w:val="32090C24"/>
    <w:rsid w:val="325CD81F"/>
    <w:rsid w:val="328C597A"/>
    <w:rsid w:val="32A8CAF8"/>
    <w:rsid w:val="336E96C1"/>
    <w:rsid w:val="337D9803"/>
    <w:rsid w:val="337F0649"/>
    <w:rsid w:val="33A998C1"/>
    <w:rsid w:val="33D57951"/>
    <w:rsid w:val="33DFA628"/>
    <w:rsid w:val="34151EEB"/>
    <w:rsid w:val="3531ACE9"/>
    <w:rsid w:val="354823FF"/>
    <w:rsid w:val="3552DFA7"/>
    <w:rsid w:val="3563C5CF"/>
    <w:rsid w:val="35779221"/>
    <w:rsid w:val="359C7EE2"/>
    <w:rsid w:val="35CB0D33"/>
    <w:rsid w:val="361F4F66"/>
    <w:rsid w:val="363DF056"/>
    <w:rsid w:val="36BCAD1B"/>
    <w:rsid w:val="36C93622"/>
    <w:rsid w:val="36CD7D4A"/>
    <w:rsid w:val="37105249"/>
    <w:rsid w:val="37484488"/>
    <w:rsid w:val="374DD840"/>
    <w:rsid w:val="37980066"/>
    <w:rsid w:val="3798EC50"/>
    <w:rsid w:val="37CFC7C9"/>
    <w:rsid w:val="37E370B4"/>
    <w:rsid w:val="37EBCBB0"/>
    <w:rsid w:val="383849CC"/>
    <w:rsid w:val="383E53D8"/>
    <w:rsid w:val="3870B255"/>
    <w:rsid w:val="3A0F3657"/>
    <w:rsid w:val="3A889CA4"/>
    <w:rsid w:val="3A98FB36"/>
    <w:rsid w:val="3AA5A95C"/>
    <w:rsid w:val="3ABE7E61"/>
    <w:rsid w:val="3AF5A665"/>
    <w:rsid w:val="3AF887C5"/>
    <w:rsid w:val="3B2647E5"/>
    <w:rsid w:val="3B67FD66"/>
    <w:rsid w:val="3BBE0FAA"/>
    <w:rsid w:val="3C3B5335"/>
    <w:rsid w:val="3C62C808"/>
    <w:rsid w:val="3CF5C544"/>
    <w:rsid w:val="3D61EF50"/>
    <w:rsid w:val="3D778B15"/>
    <w:rsid w:val="3E0549AC"/>
    <w:rsid w:val="3E2A700B"/>
    <w:rsid w:val="3E469430"/>
    <w:rsid w:val="3E881F83"/>
    <w:rsid w:val="3EA15497"/>
    <w:rsid w:val="3F97465B"/>
    <w:rsid w:val="3FAE9234"/>
    <w:rsid w:val="409F3459"/>
    <w:rsid w:val="40A8AA48"/>
    <w:rsid w:val="40DED2C5"/>
    <w:rsid w:val="40EE3483"/>
    <w:rsid w:val="4122A657"/>
    <w:rsid w:val="4190EF16"/>
    <w:rsid w:val="41B0BC27"/>
    <w:rsid w:val="41BE81A2"/>
    <w:rsid w:val="42210A06"/>
    <w:rsid w:val="42398BD5"/>
    <w:rsid w:val="4266EE36"/>
    <w:rsid w:val="42E03678"/>
    <w:rsid w:val="42F925F2"/>
    <w:rsid w:val="43541779"/>
    <w:rsid w:val="4369EEAF"/>
    <w:rsid w:val="43B15F43"/>
    <w:rsid w:val="43D25CC5"/>
    <w:rsid w:val="43E25F67"/>
    <w:rsid w:val="44164917"/>
    <w:rsid w:val="441EC718"/>
    <w:rsid w:val="4436B477"/>
    <w:rsid w:val="44783610"/>
    <w:rsid w:val="44A82923"/>
    <w:rsid w:val="4569C18A"/>
    <w:rsid w:val="459209CD"/>
    <w:rsid w:val="460C651D"/>
    <w:rsid w:val="460FFDCA"/>
    <w:rsid w:val="4665D52F"/>
    <w:rsid w:val="467E5E86"/>
    <w:rsid w:val="468372DC"/>
    <w:rsid w:val="4737C6EC"/>
    <w:rsid w:val="475C8BA1"/>
    <w:rsid w:val="47622977"/>
    <w:rsid w:val="479C7813"/>
    <w:rsid w:val="47F8E5D4"/>
    <w:rsid w:val="49142F80"/>
    <w:rsid w:val="49810B7C"/>
    <w:rsid w:val="49B89904"/>
    <w:rsid w:val="49C65592"/>
    <w:rsid w:val="4A0A4463"/>
    <w:rsid w:val="4A189C19"/>
    <w:rsid w:val="4A5716B9"/>
    <w:rsid w:val="4A830370"/>
    <w:rsid w:val="4A849784"/>
    <w:rsid w:val="4B003934"/>
    <w:rsid w:val="4BFAC526"/>
    <w:rsid w:val="4C023820"/>
    <w:rsid w:val="4C2B3298"/>
    <w:rsid w:val="4C72FB81"/>
    <w:rsid w:val="4C733523"/>
    <w:rsid w:val="4C736114"/>
    <w:rsid w:val="4C94E636"/>
    <w:rsid w:val="4CAA91C4"/>
    <w:rsid w:val="4CB202E0"/>
    <w:rsid w:val="4CCE29F7"/>
    <w:rsid w:val="4CE0BE01"/>
    <w:rsid w:val="4CFE14EC"/>
    <w:rsid w:val="4D20C9A5"/>
    <w:rsid w:val="4D283471"/>
    <w:rsid w:val="4D7F7B71"/>
    <w:rsid w:val="4D8FA8CB"/>
    <w:rsid w:val="4D91107A"/>
    <w:rsid w:val="4DAAFE61"/>
    <w:rsid w:val="4DEE1A94"/>
    <w:rsid w:val="4E38EBB2"/>
    <w:rsid w:val="4ECD66F0"/>
    <w:rsid w:val="4EF6ACFD"/>
    <w:rsid w:val="518440F0"/>
    <w:rsid w:val="52354F1A"/>
    <w:rsid w:val="52644027"/>
    <w:rsid w:val="52815EF9"/>
    <w:rsid w:val="528DAB43"/>
    <w:rsid w:val="5348C098"/>
    <w:rsid w:val="54356AA8"/>
    <w:rsid w:val="54418262"/>
    <w:rsid w:val="5450D0C7"/>
    <w:rsid w:val="547923A0"/>
    <w:rsid w:val="54797423"/>
    <w:rsid w:val="54813D08"/>
    <w:rsid w:val="54CE71AC"/>
    <w:rsid w:val="54E3267E"/>
    <w:rsid w:val="553EFB46"/>
    <w:rsid w:val="5556A321"/>
    <w:rsid w:val="557712EF"/>
    <w:rsid w:val="55F2D8C0"/>
    <w:rsid w:val="5648570B"/>
    <w:rsid w:val="56A8CAC1"/>
    <w:rsid w:val="5711B6D7"/>
    <w:rsid w:val="57BA60CE"/>
    <w:rsid w:val="57D62C84"/>
    <w:rsid w:val="57E61573"/>
    <w:rsid w:val="588CB863"/>
    <w:rsid w:val="5903F146"/>
    <w:rsid w:val="5A53E2E9"/>
    <w:rsid w:val="5A5503BA"/>
    <w:rsid w:val="5A56964A"/>
    <w:rsid w:val="5A5DB742"/>
    <w:rsid w:val="5A70F7DE"/>
    <w:rsid w:val="5A7347EC"/>
    <w:rsid w:val="5A977F24"/>
    <w:rsid w:val="5AF74880"/>
    <w:rsid w:val="5B7D977F"/>
    <w:rsid w:val="5B9101D0"/>
    <w:rsid w:val="5BE635AA"/>
    <w:rsid w:val="5BF97BEA"/>
    <w:rsid w:val="5C1978F4"/>
    <w:rsid w:val="5C6BE326"/>
    <w:rsid w:val="5C8FAB07"/>
    <w:rsid w:val="5CAEAEEC"/>
    <w:rsid w:val="5D3E9CE5"/>
    <w:rsid w:val="5EE6309E"/>
    <w:rsid w:val="5F0C4C4E"/>
    <w:rsid w:val="607412BF"/>
    <w:rsid w:val="60A592A5"/>
    <w:rsid w:val="60B62670"/>
    <w:rsid w:val="60D376A0"/>
    <w:rsid w:val="60E4C216"/>
    <w:rsid w:val="6236C466"/>
    <w:rsid w:val="6241AAE5"/>
    <w:rsid w:val="6254135B"/>
    <w:rsid w:val="62C0245D"/>
    <w:rsid w:val="6327657F"/>
    <w:rsid w:val="6335B636"/>
    <w:rsid w:val="63397EA1"/>
    <w:rsid w:val="6363EEBC"/>
    <w:rsid w:val="63962EDE"/>
    <w:rsid w:val="6412F185"/>
    <w:rsid w:val="6449B2E3"/>
    <w:rsid w:val="648BBEEE"/>
    <w:rsid w:val="64B2B724"/>
    <w:rsid w:val="64CBEA0B"/>
    <w:rsid w:val="64E96053"/>
    <w:rsid w:val="6595E2F0"/>
    <w:rsid w:val="65A32A7F"/>
    <w:rsid w:val="65C253B6"/>
    <w:rsid w:val="65C70966"/>
    <w:rsid w:val="66193E3F"/>
    <w:rsid w:val="66324C49"/>
    <w:rsid w:val="664A73F0"/>
    <w:rsid w:val="6655DCC2"/>
    <w:rsid w:val="66AB2A18"/>
    <w:rsid w:val="671DB27F"/>
    <w:rsid w:val="6769D200"/>
    <w:rsid w:val="67B1A22B"/>
    <w:rsid w:val="6859A28D"/>
    <w:rsid w:val="69566D5F"/>
    <w:rsid w:val="6A3DA3A6"/>
    <w:rsid w:val="6A52A356"/>
    <w:rsid w:val="6A9A22A4"/>
    <w:rsid w:val="6A9B6B19"/>
    <w:rsid w:val="6AF21940"/>
    <w:rsid w:val="6BBDC1AA"/>
    <w:rsid w:val="6BC2211B"/>
    <w:rsid w:val="6C0609F7"/>
    <w:rsid w:val="6C265DBE"/>
    <w:rsid w:val="6C2FEACD"/>
    <w:rsid w:val="6C522C20"/>
    <w:rsid w:val="6C5F15EC"/>
    <w:rsid w:val="6C6CEC5E"/>
    <w:rsid w:val="6C71D56B"/>
    <w:rsid w:val="6CFED4DD"/>
    <w:rsid w:val="6E1EFD53"/>
    <w:rsid w:val="6E39DAFF"/>
    <w:rsid w:val="6F49118B"/>
    <w:rsid w:val="6F4BF195"/>
    <w:rsid w:val="6F61BE5D"/>
    <w:rsid w:val="6F6B4616"/>
    <w:rsid w:val="6FD6BE85"/>
    <w:rsid w:val="7009D692"/>
    <w:rsid w:val="702FA075"/>
    <w:rsid w:val="7067F5DE"/>
    <w:rsid w:val="70708855"/>
    <w:rsid w:val="70F5EA63"/>
    <w:rsid w:val="712B0F41"/>
    <w:rsid w:val="7145B7A2"/>
    <w:rsid w:val="71BD0A2A"/>
    <w:rsid w:val="71C6A1C5"/>
    <w:rsid w:val="71D0D470"/>
    <w:rsid w:val="71DA051B"/>
    <w:rsid w:val="71E56A3E"/>
    <w:rsid w:val="722B3106"/>
    <w:rsid w:val="7248B58B"/>
    <w:rsid w:val="724AADC9"/>
    <w:rsid w:val="72924001"/>
    <w:rsid w:val="731C9477"/>
    <w:rsid w:val="731DE7E4"/>
    <w:rsid w:val="7374BB09"/>
    <w:rsid w:val="73A6ACD4"/>
    <w:rsid w:val="73C9306C"/>
    <w:rsid w:val="73FF1A8E"/>
    <w:rsid w:val="7441F5D9"/>
    <w:rsid w:val="74AD2D6D"/>
    <w:rsid w:val="75923195"/>
    <w:rsid w:val="762C87B7"/>
    <w:rsid w:val="76D84E54"/>
    <w:rsid w:val="77914F2B"/>
    <w:rsid w:val="77DDDD30"/>
    <w:rsid w:val="77E6AEC0"/>
    <w:rsid w:val="783523A8"/>
    <w:rsid w:val="78540BB8"/>
    <w:rsid w:val="788A9354"/>
    <w:rsid w:val="788E1F25"/>
    <w:rsid w:val="7892FF2C"/>
    <w:rsid w:val="78FC1D4D"/>
    <w:rsid w:val="795D9F40"/>
    <w:rsid w:val="795E2E34"/>
    <w:rsid w:val="7997D7D2"/>
    <w:rsid w:val="79D12561"/>
    <w:rsid w:val="79E1592F"/>
    <w:rsid w:val="79E21DE8"/>
    <w:rsid w:val="7A5BB4F6"/>
    <w:rsid w:val="7A7EFF85"/>
    <w:rsid w:val="7AB90BA0"/>
    <w:rsid w:val="7ADC3F32"/>
    <w:rsid w:val="7B40467A"/>
    <w:rsid w:val="7B4662EE"/>
    <w:rsid w:val="7BA05967"/>
    <w:rsid w:val="7BF78557"/>
    <w:rsid w:val="7C59840C"/>
    <w:rsid w:val="7D1D7141"/>
    <w:rsid w:val="7D995C32"/>
    <w:rsid w:val="7DE305F9"/>
    <w:rsid w:val="7E064310"/>
    <w:rsid w:val="7E63DED1"/>
    <w:rsid w:val="7E9E6266"/>
    <w:rsid w:val="7F29FA21"/>
    <w:rsid w:val="7FE139CA"/>
    <w:rsid w:val="7FF1A7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9C18E6A"/>
  <w15:docId w15:val="{6DE0FE1C-024A-4CE1-BF9A-2AEDA1968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iPriority="0"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iPriority="0" w:qFormat="1"/>
    <w:lsdException w:name="line number" w:semiHidden="1" w:unhideWhenUsed="1"/>
    <w:lsdException w:name="page number" w:uiPriority="0"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val="en-GB" w:eastAsia="en-GB"/>
    </w:rPr>
  </w:style>
  <w:style w:type="paragraph" w:styleId="Titre1">
    <w:name w:val="heading 1"/>
    <w:basedOn w:val="Normal"/>
    <w:next w:val="Normal"/>
    <w:link w:val="Titre1Car"/>
    <w:qFormat/>
    <w:pPr>
      <w:keepNext/>
      <w:spacing w:before="240" w:after="60"/>
      <w:outlineLvl w:val="0"/>
    </w:pPr>
    <w:rPr>
      <w:rFonts w:ascii="Cambria" w:hAnsi="Cambria"/>
      <w:b/>
      <w:bCs/>
      <w:kern w:val="32"/>
      <w:sz w:val="32"/>
      <w:szCs w:val="32"/>
      <w:lang w:val="en-US" w:eastAsia="en-US"/>
    </w:rPr>
  </w:style>
  <w:style w:type="paragraph" w:styleId="Titre2">
    <w:name w:val="heading 2"/>
    <w:basedOn w:val="Normal"/>
    <w:next w:val="Normal"/>
    <w:link w:val="Titre2Car"/>
    <w:qFormat/>
    <w:pPr>
      <w:keepNext/>
      <w:spacing w:before="240" w:after="60"/>
      <w:outlineLvl w:val="1"/>
    </w:pPr>
    <w:rPr>
      <w:rFonts w:ascii="Cambria" w:hAnsi="Cambria"/>
      <w:b/>
      <w:bCs/>
      <w:i/>
      <w:iCs/>
      <w:sz w:val="28"/>
      <w:szCs w:val="28"/>
      <w:lang w:val="en-US" w:eastAsia="en-US"/>
    </w:rPr>
  </w:style>
  <w:style w:type="paragraph" w:styleId="Titre3">
    <w:name w:val="heading 3"/>
    <w:next w:val="Normal"/>
    <w:uiPriority w:val="9"/>
    <w:semiHidden/>
    <w:unhideWhenUsed/>
    <w:qFormat/>
    <w:pPr>
      <w:spacing w:beforeAutospacing="1" w:afterAutospacing="1"/>
      <w:outlineLvl w:val="2"/>
    </w:pPr>
    <w:rPr>
      <w:rFonts w:ascii="SimSun" w:hAnsi="SimSun" w:hint="eastAsia"/>
      <w:b/>
      <w:bCs/>
      <w:sz w:val="27"/>
      <w:szCs w:val="27"/>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nhideWhenUsed/>
    <w:qFormat/>
    <w:rPr>
      <w:rFonts w:ascii="Tahoma" w:hAnsi="Tahoma" w:cs="Tahoma"/>
      <w:sz w:val="16"/>
      <w:szCs w:val="16"/>
    </w:rPr>
  </w:style>
  <w:style w:type="paragraph" w:styleId="Corpsdetexte">
    <w:name w:val="Body Text"/>
    <w:basedOn w:val="Normal"/>
    <w:qFormat/>
    <w:rPr>
      <w:rFonts w:ascii="Arial" w:hAnsi="Arial" w:cs="Arial"/>
      <w:sz w:val="20"/>
      <w:szCs w:val="20"/>
      <w:lang w:val="en-US" w:eastAsia="en-US"/>
    </w:rPr>
  </w:style>
  <w:style w:type="character" w:styleId="Marquedecommentaire">
    <w:name w:val="annotation reference"/>
    <w:semiHidden/>
    <w:qFormat/>
    <w:rPr>
      <w:sz w:val="16"/>
      <w:szCs w:val="16"/>
    </w:rPr>
  </w:style>
  <w:style w:type="paragraph" w:styleId="Commentaire">
    <w:name w:val="annotation text"/>
    <w:basedOn w:val="Normal"/>
    <w:semiHidden/>
    <w:qFormat/>
    <w:rPr>
      <w:sz w:val="20"/>
      <w:szCs w:val="20"/>
    </w:rPr>
  </w:style>
  <w:style w:type="paragraph" w:styleId="Objetducommentaire">
    <w:name w:val="annotation subject"/>
    <w:basedOn w:val="Commentaire"/>
    <w:next w:val="Commentaire"/>
    <w:semiHidden/>
    <w:qFormat/>
    <w:rPr>
      <w:b/>
      <w:bCs/>
    </w:rPr>
  </w:style>
  <w:style w:type="character" w:styleId="Appeldenotedefin">
    <w:name w:val="endnote reference"/>
    <w:basedOn w:val="Policepardfaut"/>
    <w:uiPriority w:val="99"/>
    <w:semiHidden/>
    <w:unhideWhenUsed/>
    <w:qFormat/>
    <w:rPr>
      <w:vertAlign w:val="superscript"/>
    </w:rPr>
  </w:style>
  <w:style w:type="paragraph" w:styleId="Notedefin">
    <w:name w:val="endnote text"/>
    <w:basedOn w:val="Normal"/>
    <w:link w:val="NotedefinCar"/>
    <w:uiPriority w:val="99"/>
    <w:semiHidden/>
    <w:unhideWhenUsed/>
    <w:qFormat/>
    <w:rPr>
      <w:sz w:val="20"/>
      <w:szCs w:val="20"/>
    </w:rPr>
  </w:style>
  <w:style w:type="character" w:styleId="Lienhypertextesuivivisit">
    <w:name w:val="FollowedHyperlink"/>
    <w:uiPriority w:val="99"/>
    <w:semiHidden/>
    <w:unhideWhenUsed/>
    <w:qFormat/>
    <w:rPr>
      <w:color w:val="800080"/>
      <w:u w:val="single"/>
    </w:rPr>
  </w:style>
  <w:style w:type="paragraph" w:styleId="Pieddepage">
    <w:name w:val="footer"/>
    <w:basedOn w:val="Normal"/>
    <w:link w:val="PieddepageCar"/>
    <w:unhideWhenUsed/>
    <w:qFormat/>
    <w:pPr>
      <w:tabs>
        <w:tab w:val="center" w:pos="4680"/>
        <w:tab w:val="right" w:pos="9360"/>
      </w:tabs>
    </w:pPr>
  </w:style>
  <w:style w:type="character" w:styleId="Appelnotedebasdep">
    <w:name w:val="footnote reference"/>
    <w:uiPriority w:val="99"/>
    <w:qFormat/>
    <w:rPr>
      <w:vertAlign w:val="superscript"/>
    </w:rPr>
  </w:style>
  <w:style w:type="paragraph" w:styleId="Notedebasdepage">
    <w:name w:val="footnote text"/>
    <w:basedOn w:val="Normal"/>
    <w:link w:val="NotedebasdepageCar"/>
    <w:uiPriority w:val="99"/>
    <w:qFormat/>
    <w:rPr>
      <w:sz w:val="20"/>
      <w:szCs w:val="20"/>
    </w:rPr>
  </w:style>
  <w:style w:type="paragraph" w:styleId="En-tte">
    <w:name w:val="header"/>
    <w:basedOn w:val="Normal"/>
    <w:link w:val="En-tteCar"/>
    <w:unhideWhenUsed/>
    <w:qFormat/>
    <w:pPr>
      <w:tabs>
        <w:tab w:val="center" w:pos="4680"/>
        <w:tab w:val="right" w:pos="9360"/>
      </w:tabs>
    </w:pPr>
  </w:style>
  <w:style w:type="paragraph" w:styleId="PrformatHTML">
    <w:name w:val="HTML Preformatted"/>
    <w:basedOn w:val="Normal"/>
    <w:link w:val="PrformatHTMLC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zh-CN"/>
    </w:rPr>
  </w:style>
  <w:style w:type="character" w:styleId="Lienhypertexte">
    <w:name w:val="Hyperlink"/>
    <w:qFormat/>
    <w:rPr>
      <w:color w:val="0000FF"/>
      <w:u w:val="single"/>
    </w:rPr>
  </w:style>
  <w:style w:type="paragraph" w:styleId="NormalWeb">
    <w:name w:val="Normal (Web)"/>
    <w:uiPriority w:val="99"/>
    <w:unhideWhenUsed/>
    <w:qFormat/>
    <w:pPr>
      <w:spacing w:beforeAutospacing="1" w:afterAutospacing="1"/>
    </w:pPr>
    <w:rPr>
      <w:sz w:val="24"/>
      <w:szCs w:val="24"/>
      <w:lang w:val="en-US"/>
    </w:rPr>
  </w:style>
  <w:style w:type="character" w:styleId="Numrodepage">
    <w:name w:val="page number"/>
    <w:qFormat/>
  </w:style>
  <w:style w:type="character" w:styleId="lev">
    <w:name w:val="Strong"/>
    <w:basedOn w:val="Policepardfaut"/>
    <w:uiPriority w:val="22"/>
    <w:qFormat/>
    <w:rPr>
      <w:b/>
      <w:bCs/>
    </w:rPr>
  </w:style>
  <w:style w:type="table" w:styleId="Grilledutableau">
    <w:name w:val="Table Grid"/>
    <w:basedOn w:val="Tableau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debasdepageCar">
    <w:name w:val="Note de bas de page Car"/>
    <w:link w:val="Notedebasdepage"/>
    <w:uiPriority w:val="99"/>
    <w:qFormat/>
    <w:rPr>
      <w:rFonts w:ascii="Times New Roman" w:eastAsia="Times New Roman" w:hAnsi="Times New Roman" w:cs="Times New Roman"/>
      <w:sz w:val="20"/>
      <w:szCs w:val="20"/>
      <w:lang w:val="en-GB" w:eastAsia="en-GB"/>
    </w:rPr>
  </w:style>
  <w:style w:type="character" w:customStyle="1" w:styleId="TextedebullesCar">
    <w:name w:val="Texte de bulles Car"/>
    <w:link w:val="Textedebulles"/>
    <w:qFormat/>
    <w:rPr>
      <w:rFonts w:ascii="Tahoma" w:eastAsia="Times New Roman" w:hAnsi="Tahoma" w:cs="Tahoma"/>
      <w:sz w:val="16"/>
      <w:szCs w:val="16"/>
      <w:lang w:val="en-GB" w:eastAsia="en-GB"/>
    </w:rPr>
  </w:style>
  <w:style w:type="character" w:customStyle="1" w:styleId="En-tteCar">
    <w:name w:val="En-tête Car"/>
    <w:link w:val="En-tte"/>
    <w:qFormat/>
    <w:rPr>
      <w:rFonts w:ascii="Times New Roman" w:eastAsia="Times New Roman" w:hAnsi="Times New Roman" w:cs="Times New Roman"/>
      <w:sz w:val="24"/>
      <w:szCs w:val="24"/>
      <w:lang w:val="en-GB" w:eastAsia="en-GB"/>
    </w:rPr>
  </w:style>
  <w:style w:type="character" w:customStyle="1" w:styleId="PieddepageCar">
    <w:name w:val="Pied de page Car"/>
    <w:link w:val="Pieddepage"/>
    <w:uiPriority w:val="99"/>
    <w:qFormat/>
    <w:rPr>
      <w:rFonts w:ascii="Times New Roman" w:eastAsia="Times New Roman" w:hAnsi="Times New Roman" w:cs="Times New Roman"/>
      <w:sz w:val="24"/>
      <w:szCs w:val="24"/>
      <w:lang w:val="en-GB" w:eastAsia="en-GB"/>
    </w:rPr>
  </w:style>
  <w:style w:type="paragraph" w:styleId="Paragraphedeliste">
    <w:name w:val="List Paragraph"/>
    <w:basedOn w:val="Normal"/>
    <w:uiPriority w:val="34"/>
    <w:qFormat/>
    <w:pPr>
      <w:ind w:left="720"/>
      <w:contextualSpacing/>
    </w:pPr>
  </w:style>
  <w:style w:type="paragraph" w:customStyle="1" w:styleId="Rvision1">
    <w:name w:val="Révision1"/>
    <w:hidden/>
    <w:uiPriority w:val="99"/>
    <w:semiHidden/>
    <w:qFormat/>
    <w:rPr>
      <w:rFonts w:eastAsia="Times New Roman"/>
      <w:sz w:val="24"/>
      <w:szCs w:val="24"/>
      <w:lang w:val="en-GB" w:eastAsia="en-GB"/>
    </w:rPr>
  </w:style>
  <w:style w:type="paragraph" w:customStyle="1" w:styleId="H1">
    <w:name w:val="H1"/>
    <w:qFormat/>
    <w:pPr>
      <w:spacing w:before="60" w:after="60"/>
    </w:pPr>
    <w:rPr>
      <w:rFonts w:eastAsia="Times New Roman" w:cs="Arial"/>
      <w:b/>
      <w:bCs/>
      <w:snapToGrid w:val="0"/>
      <w:kern w:val="32"/>
      <w:sz w:val="24"/>
      <w:szCs w:val="32"/>
      <w:lang w:val="en-GB" w:eastAsia="en-US"/>
    </w:rPr>
  </w:style>
  <w:style w:type="paragraph" w:customStyle="1" w:styleId="H2">
    <w:name w:val="H2"/>
    <w:qFormat/>
    <w:rPr>
      <w:rFonts w:eastAsia="Times New Roman" w:cs="Arial"/>
      <w:b/>
      <w:bCs/>
      <w:iCs/>
      <w:snapToGrid w:val="0"/>
      <w:sz w:val="22"/>
      <w:szCs w:val="28"/>
      <w:lang w:val="en-GB" w:eastAsia="en-US"/>
    </w:rPr>
  </w:style>
  <w:style w:type="character" w:customStyle="1" w:styleId="Titre1Car">
    <w:name w:val="Titre 1 Car"/>
    <w:link w:val="Titre1"/>
    <w:qFormat/>
    <w:rPr>
      <w:rFonts w:ascii="Cambria" w:eastAsia="Times New Roman" w:hAnsi="Cambria"/>
      <w:b/>
      <w:bCs/>
      <w:kern w:val="32"/>
      <w:sz w:val="32"/>
      <w:szCs w:val="32"/>
      <w:lang w:val="en-US" w:eastAsia="en-US"/>
    </w:rPr>
  </w:style>
  <w:style w:type="character" w:customStyle="1" w:styleId="Titre2Car">
    <w:name w:val="Titre 2 Car"/>
    <w:link w:val="Titre2"/>
    <w:qFormat/>
    <w:rPr>
      <w:rFonts w:ascii="Cambria" w:eastAsia="Times New Roman" w:hAnsi="Cambria"/>
      <w:b/>
      <w:bCs/>
      <w:i/>
      <w:iCs/>
      <w:sz w:val="28"/>
      <w:szCs w:val="28"/>
      <w:lang w:val="en-US" w:eastAsia="en-US"/>
    </w:rPr>
  </w:style>
  <w:style w:type="paragraph" w:customStyle="1" w:styleId="Default">
    <w:name w:val="Default"/>
    <w:qFormat/>
    <w:pPr>
      <w:autoSpaceDE w:val="0"/>
      <w:autoSpaceDN w:val="0"/>
      <w:adjustRightInd w:val="0"/>
    </w:pPr>
    <w:rPr>
      <w:rFonts w:ascii="Open Sans" w:eastAsia="Calibri" w:hAnsi="Open Sans" w:cs="Open Sans"/>
      <w:color w:val="000000"/>
      <w:sz w:val="24"/>
      <w:szCs w:val="24"/>
      <w:lang w:val="en-GB"/>
    </w:rPr>
  </w:style>
  <w:style w:type="table" w:customStyle="1" w:styleId="TableGrid1">
    <w:name w:val="Table Grid1"/>
    <w:basedOn w:val="TableauNormal"/>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seditboxdisponly">
    <w:name w:val="pseditbox_disponly"/>
    <w:qFormat/>
  </w:style>
  <w:style w:type="paragraph" w:customStyle="1" w:styleId="Char">
    <w:name w:val="Char"/>
    <w:basedOn w:val="Normal"/>
    <w:qFormat/>
    <w:pPr>
      <w:spacing w:after="160" w:line="240" w:lineRule="exact"/>
    </w:pPr>
    <w:rPr>
      <w:rFonts w:ascii="Arial" w:hAnsi="Arial" w:cs="Arial"/>
      <w:sz w:val="20"/>
      <w:szCs w:val="20"/>
      <w:lang w:eastAsia="en-US"/>
    </w:rPr>
  </w:style>
  <w:style w:type="paragraph" w:styleId="Sansinterligne">
    <w:name w:val="No Spacing"/>
    <w:qFormat/>
    <w:pPr>
      <w:ind w:left="1440" w:right="720"/>
    </w:pPr>
    <w:rPr>
      <w:rFonts w:ascii="Calibri" w:eastAsia="Calibri" w:hAnsi="Calibri"/>
      <w:sz w:val="22"/>
      <w:szCs w:val="22"/>
      <w:lang w:val="en-GB" w:eastAsia="en-US"/>
    </w:rPr>
  </w:style>
  <w:style w:type="character" w:customStyle="1" w:styleId="PrformatHTMLCar">
    <w:name w:val="Préformaté HTML Car"/>
    <w:link w:val="PrformatHTML"/>
    <w:uiPriority w:val="99"/>
    <w:qFormat/>
    <w:rPr>
      <w:rFonts w:ascii="Courier New" w:eastAsia="Times New Roman" w:hAnsi="Courier New" w:cs="Courier New"/>
    </w:rPr>
  </w:style>
  <w:style w:type="character" w:styleId="Textedelespacerserv">
    <w:name w:val="Placeholder Text"/>
    <w:basedOn w:val="Policepardfaut"/>
    <w:uiPriority w:val="99"/>
    <w:semiHidden/>
    <w:qFormat/>
    <w:rPr>
      <w:color w:val="808080"/>
    </w:rPr>
  </w:style>
  <w:style w:type="character" w:customStyle="1" w:styleId="Mentionnonrsolue1">
    <w:name w:val="Mention non résolue1"/>
    <w:basedOn w:val="Policepardfaut"/>
    <w:uiPriority w:val="99"/>
    <w:semiHidden/>
    <w:unhideWhenUsed/>
    <w:qFormat/>
    <w:rPr>
      <w:color w:val="605E5C"/>
      <w:shd w:val="clear" w:color="auto" w:fill="E1DFDD"/>
    </w:rPr>
  </w:style>
  <w:style w:type="character" w:customStyle="1" w:styleId="texttitle21rf4">
    <w:name w:val="texttitle2__1_rf4"/>
    <w:basedOn w:val="Policepardfaut"/>
    <w:qFormat/>
  </w:style>
  <w:style w:type="character" w:customStyle="1" w:styleId="NotedefinCar">
    <w:name w:val="Note de fin Car"/>
    <w:basedOn w:val="Policepardfaut"/>
    <w:link w:val="Notedefin"/>
    <w:uiPriority w:val="99"/>
    <w:semiHidden/>
    <w:qFormat/>
    <w:rPr>
      <w:rFonts w:ascii="Times New Roman" w:eastAsia="Times New Roman" w:hAnsi="Times New Roman"/>
      <w:lang w:val="en-GB" w:eastAsia="en-GB"/>
    </w:rPr>
  </w:style>
  <w:style w:type="paragraph" w:customStyle="1" w:styleId="Rvision2">
    <w:name w:val="Révision2"/>
    <w:hidden/>
    <w:uiPriority w:val="99"/>
    <w:unhideWhenUsed/>
    <w:qFormat/>
    <w:rPr>
      <w:rFonts w:eastAsia="Times New Roman"/>
      <w:sz w:val="24"/>
      <w:szCs w:val="24"/>
      <w:lang w:val="en-GB" w:eastAsia="en-GB"/>
    </w:rPr>
  </w:style>
  <w:style w:type="paragraph" w:customStyle="1" w:styleId="Revision1">
    <w:name w:val="Revision1"/>
    <w:hidden/>
    <w:uiPriority w:val="99"/>
    <w:unhideWhenUsed/>
    <w:qFormat/>
    <w:rPr>
      <w:rFonts w:eastAsia="Times New Roman"/>
      <w:sz w:val="24"/>
      <w:szCs w:val="24"/>
      <w:lang w:val="en-GB" w:eastAsia="en-GB"/>
    </w:rPr>
  </w:style>
  <w:style w:type="paragraph" w:customStyle="1" w:styleId="Rvision3">
    <w:name w:val="Révision3"/>
    <w:hidden/>
    <w:uiPriority w:val="99"/>
    <w:unhideWhenUsed/>
    <w:qFormat/>
    <w:rPr>
      <w:rFonts w:eastAsia="Times New Roman"/>
      <w:sz w:val="24"/>
      <w:szCs w:val="24"/>
      <w:lang w:val="en-GB" w:eastAsia="en-GB"/>
    </w:rPr>
  </w:style>
  <w:style w:type="paragraph" w:styleId="Rvision">
    <w:name w:val="Revision"/>
    <w:hidden/>
    <w:uiPriority w:val="99"/>
    <w:unhideWhenUsed/>
    <w:rsid w:val="000567C9"/>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org/peacebuilding/sites/www.un.org.peacebuilding/files/documents/pbf_guidance_note_on_perception_surveys_cbm_-_2020.pd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org/peacebuilding/sites/www.un.org.peacebuilding/files/documents/pbf_guidance_note_on_perception_surveys_cbm_-_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B0324 - Dem. Rep. of the Congo</OfficeCountry>
    <DocumentStatus xmlns="d9cf0e28-81d2-4dc7-8b10-820d80ed680d">Reviewed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Progress report 2025</FileNameDescription>
    <ProjectNumber xmlns="d9cf0e28-81d2-4dc7-8b10-820d80ed680d">01002916</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UNDP-COD</OperatingUnit>
    <FocusArea xmlns="d9cf0e28-81d2-4dc7-8b10-820d80ed680d">Resilience</FocusArea>
    <DocCoverageStartDate xmlns="d9cf0e28-81d2-4dc7-8b10-820d80ed680d">2024-10-01T04:00:00+00:00</DocCoverageStartDate>
    <FileClassificationMode xmlns="d9cf0e28-81d2-4dc7-8b10-820d80ed680d">Public</FileClassificationMode>
    <OutputNumber xmlns="d9cf0e28-81d2-4dc7-8b10-820d80ed680d"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D88E00-AD6C-4229-8EC8-D20BA84B1669}">
  <ds:schemaRefs>
    <ds:schemaRef ds:uri="http://schemas.microsoft.com/office/2006/metadata/longProperties"/>
  </ds:schemaRefs>
</ds:datastoreItem>
</file>

<file path=customXml/itemProps2.xml><?xml version="1.0" encoding="utf-8"?>
<ds:datastoreItem xmlns:ds="http://schemas.openxmlformats.org/officeDocument/2006/customXml" ds:itemID="{157255A4-AD13-4AD1-8C63-734EFE75B857}"/>
</file>

<file path=customXml/itemProps3.xml><?xml version="1.0" encoding="utf-8"?>
<ds:datastoreItem xmlns:ds="http://schemas.openxmlformats.org/officeDocument/2006/customXml" ds:itemID="{4CBA8D84-EDB8-45A0-997E-C26ED7CCF8F8}">
  <ds:schemaRefs>
    <ds:schemaRef ds:uri="http://schemas.openxmlformats.org/officeDocument/2006/bibliography"/>
  </ds:schemaRefs>
</ds:datastoreItem>
</file>

<file path=customXml/itemProps4.xml><?xml version="1.0" encoding="utf-8"?>
<ds:datastoreItem xmlns:ds="http://schemas.openxmlformats.org/officeDocument/2006/customXml" ds:itemID="{B670E903-43CD-48D0-8AED-FA24DD1EB4F1}">
  <ds:schemaRefs>
    <ds:schemaRef ds:uri="http://schemas.microsoft.com/office/2006/metadata/properties"/>
    <ds:schemaRef ds:uri="http://schemas.microsoft.com/office/infopath/2007/PartnerControls"/>
    <ds:schemaRef ds:uri="985ec44e-1bab-4c0b-9df0-6ba128686fc9"/>
    <ds:schemaRef ds:uri="9dc44b34-9e2b-42ea-86f7-9ee7f71036fc"/>
  </ds:schemaRefs>
</ds:datastoreItem>
</file>

<file path=customXml/itemProps5.xml><?xml version="1.0" encoding="utf-8"?>
<ds:datastoreItem xmlns:ds="http://schemas.openxmlformats.org/officeDocument/2006/customXml" ds:itemID="{521161C5-7963-4616-89BA-C6A37F5DCA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43</Pages>
  <Words>15090</Words>
  <Characters>86018</Characters>
  <Application>Microsoft Office Word</Application>
  <DocSecurity>0</DocSecurity>
  <Lines>716</Lines>
  <Paragraphs>201</Paragraphs>
  <ScaleCrop>false</ScaleCrop>
  <Company>Microsoft</Company>
  <LinksUpToDate>false</LinksUpToDate>
  <CharactersWithSpaces>100907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2025</dc:title>
  <dc:creator>Technical P. Advisor</dc:creator>
  <cp:lastModifiedBy>Lameck Kaniki</cp:lastModifiedBy>
  <cp:revision>2</cp:revision>
  <cp:lastPrinted>2014-02-10T17:12:00Z</cp:lastPrinted>
  <dcterms:created xsi:type="dcterms:W3CDTF">2026-06-18T18:10:00Z</dcterms:created>
  <dcterms:modified xsi:type="dcterms:W3CDTF">2026-06-18T18:10:00Z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Jelena Zelenovic</vt:lpwstr>
  </property>
  <property fmtid="{D5CDD505-2E9C-101B-9397-08002B2CF9AE}" pid="3" name="Order">
    <vt:lpwstr>4620800.00000000</vt:lpwstr>
  </property>
  <property fmtid="{D5CDD505-2E9C-101B-9397-08002B2CF9AE}" pid="4" name="display_urn:schemas-microsoft-com:office:office#Author">
    <vt:lpwstr>Jelena Zelenovic</vt:lpwstr>
  </property>
  <property fmtid="{D5CDD505-2E9C-101B-9397-08002B2CF9AE}" pid="5" name="ContentTypeId">
    <vt:lpwstr>0x010100155F732436BD414ABE4F9007290F88BC</vt:lpwstr>
  </property>
  <property fmtid="{D5CDD505-2E9C-101B-9397-08002B2CF9AE}" pid="6" name="MediaServiceImageTags">
    <vt:lpwstr/>
  </property>
  <property fmtid="{D5CDD505-2E9C-101B-9397-08002B2CF9AE}" pid="7" name="KSOProductBuildVer">
    <vt:lpwstr>1033-12.1.0.26880</vt:lpwstr>
  </property>
  <property fmtid="{D5CDD505-2E9C-101B-9397-08002B2CF9AE}" pid="8" name="ICV">
    <vt:lpwstr>2AC360FC64734A02A177BE8F906F50BB_13</vt:lpwstr>
  </property>
  <property fmtid="{D5CDD505-2E9C-101B-9397-08002B2CF9AE}" pid="9" name="KSOTemplateDocerSaveRecord">
    <vt:lpwstr>eyJoZGlkIjoiZWRlYjNmNTQ1MzZkMTYyOWVmOTkwZmFjYjg5ZTRlZDgiLCJ1c2VySWQiOiIxNDU2ODUzMDE3MDYzMCJ9</vt:lpwstr>
  </property>
</Properties>
</file>